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08"/>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8" w:type="dxa"/>
            <w:tcBorders>
              <w:top w:val="nil"/>
              <w:bottom w:val="nil"/>
            </w:tcBorders>
            <w:shd w:val="clear" w:color="auto" w:fill="auto"/>
          </w:tcPr>
          <w:p>
            <w:pPr>
              <w:ind w:left="-85" w:leftChars="-56" w:right="174" w:rightChars="83" w:hanging="32" w:hangingChars="8"/>
              <w:jc w:val="distribute"/>
              <w:rPr>
                <w:rFonts w:hint="eastAsia" w:ascii="Times New Roman" w:hAnsi="Times New Roman" w:eastAsia="方正小标宋_GBK" w:cs="Times New Roman"/>
                <w:color w:val="FF0000"/>
                <w:spacing w:val="-130"/>
                <w:w w:val="55"/>
                <w:sz w:val="120"/>
                <w:szCs w:val="120"/>
              </w:rPr>
            </w:pPr>
            <w:r>
              <w:rPr>
                <w:rFonts w:hint="eastAsia" w:ascii="Times New Roman" w:hAnsi="Times New Roman" w:eastAsia="方正小标宋_GBK" w:cs="Times New Roman"/>
                <w:color w:val="FF0000"/>
                <w:spacing w:val="-130"/>
                <w:w w:val="55"/>
                <w:sz w:val="120"/>
                <w:szCs w:val="120"/>
              </w:rPr>
              <w:t>苏州工业园区党政办公室文件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8" w:type="dxa"/>
            <w:tcBorders>
              <w:top w:val="nil"/>
              <w:bottom w:val="nil"/>
            </w:tcBorders>
            <w:shd w:val="clear" w:color="auto" w:fill="auto"/>
          </w:tcPr>
          <w:p>
            <w:pPr>
              <w:spacing w:line="560" w:lineRule="atLeast"/>
              <w:rPr>
                <w:rFonts w:hint="eastAsia" w:ascii="Times New Roman" w:hAnsi="Times New Roman" w:eastAsia="仿宋_GB2312" w:cs="Times New Roman"/>
                <w:color w:val="FF000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8" w:type="dxa"/>
            <w:tcBorders>
              <w:bottom w:val="nil"/>
            </w:tcBorders>
            <w:shd w:val="clear" w:color="auto" w:fill="auto"/>
          </w:tcPr>
          <w:p>
            <w:pPr>
              <w:spacing w:line="560" w:lineRule="atLeast"/>
              <w:rPr>
                <w:rFonts w:hint="eastAsia" w:ascii="Times New Roman" w:hAnsi="Times New Roman" w:eastAsia="仿宋_GB2312" w:cs="Times New Roman"/>
                <w:color w:val="FF000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8" w:type="dxa"/>
            <w:tcBorders>
              <w:top w:val="nil"/>
              <w:bottom w:val="single" w:color="FF0000" w:sz="18" w:space="0"/>
            </w:tcBorders>
            <w:shd w:val="clear" w:color="auto" w:fill="auto"/>
          </w:tcPr>
          <w:p>
            <w:pPr>
              <w:spacing w:after="156" w:afterLines="50" w:line="560" w:lineRule="atLeast"/>
              <w:jc w:val="center"/>
              <w:rPr>
                <w:rFonts w:hint="eastAsia" w:ascii="Times New Roman" w:hAnsi="Times New Roman" w:eastAsia="仿宋_GB2312" w:cs="Times New Roman"/>
                <w:sz w:val="32"/>
                <w:szCs w:val="32"/>
              </w:rPr>
            </w:pPr>
            <w:bookmarkStart w:id="0" w:name="文号"/>
            <w:r>
              <w:rPr>
                <w:rFonts w:hint="eastAsia" w:ascii="Times New Roman" w:hAnsi="Times New Roman" w:eastAsia="仿宋_GB2312" w:cs="Times New Roman"/>
                <w:sz w:val="32"/>
                <w:szCs w:val="32"/>
              </w:rPr>
              <w:t>苏园办〔2023〕76号</w:t>
            </w:r>
            <w:bookmarkEnd w:id="0"/>
          </w:p>
        </w:tc>
      </w:tr>
    </w:tbl>
    <w:p>
      <w:pPr>
        <w:spacing w:line="560" w:lineRule="exact"/>
        <w:rPr>
          <w:rFonts w:hint="eastAsia" w:ascii="Times New Roman" w:hAnsi="Times New Roman" w:eastAsia="华文中宋" w:cs="Times New Roman"/>
          <w:sz w:val="44"/>
          <w:szCs w:val="44"/>
        </w:rPr>
      </w:pPr>
      <w:bookmarkStart w:id="1" w:name="_GoBack"/>
      <w:bookmarkEnd w:id="1"/>
    </w:p>
    <w:p>
      <w:pPr>
        <w:spacing w:line="560" w:lineRule="exact"/>
        <w:rPr>
          <w:rFonts w:hint="eastAsia" w:ascii="Times New Roman" w:hAnsi="Times New Roman" w:eastAsia="华文中宋" w:cs="Times New Roman"/>
          <w:sz w:val="44"/>
          <w:szCs w:val="44"/>
        </w:rPr>
      </w:pPr>
    </w:p>
    <w:p>
      <w:pPr>
        <w:spacing w:line="68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园区党政办公室关于印发</w:t>
      </w:r>
    </w:p>
    <w:p>
      <w:pPr>
        <w:spacing w:line="68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《苏州工业园区关于立足新时代 奋进新征程 推进新优质教育行动的实施意见》的通知</w:t>
      </w:r>
    </w:p>
    <w:p>
      <w:pPr>
        <w:spacing w:line="560" w:lineRule="exact"/>
        <w:rPr>
          <w:rFonts w:hint="eastAsia" w:ascii="Times New Roman" w:hAnsi="Times New Roman" w:eastAsia="方正小标宋_GBK" w:cs="Times New Roman"/>
          <w:sz w:val="44"/>
          <w:szCs w:val="44"/>
        </w:rPr>
      </w:pPr>
    </w:p>
    <w:p>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各功能区、各部委办局、各派驻机构、各公司、各直属单位、各街道，苏相合作区、独墅湖科教创新区（东区）：</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《苏州工业园区关于立足新时代 奋进新征程 推进新优质教育行动的实施意见》已经园区党工委会议审议通过，现印发给你们。</w:t>
      </w:r>
    </w:p>
    <w:p>
      <w:pPr>
        <w:spacing w:line="560" w:lineRule="exact"/>
        <w:ind w:firstLine="640" w:firstLineChars="200"/>
        <w:rPr>
          <w:rFonts w:hint="eastAsia" w:ascii="Times New Roman" w:hAnsi="Times New Roman" w:eastAsia="仿宋_GB2312" w:cs="Times New Roman"/>
          <w:sz w:val="32"/>
          <w:szCs w:val="32"/>
        </w:rPr>
      </w:pPr>
    </w:p>
    <w:p>
      <w:pPr>
        <w:spacing w:line="560" w:lineRule="exact"/>
        <w:ind w:right="640" w:firstLine="640" w:firstLineChars="2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苏州工业园区党政办公室</w:t>
      </w:r>
    </w:p>
    <w:p>
      <w:pPr>
        <w:spacing w:after="156" w:afterLines="50" w:line="560" w:lineRule="exact"/>
        <w:ind w:firstLine="640"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2023年10月11日</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（此件公开</w:t>
      </w:r>
      <w:r>
        <w:rPr>
          <w:rFonts w:hint="default" w:ascii="Times New Roman" w:hAnsi="Times New Roman" w:eastAsia="仿宋_GB2312" w:cs="Times New Roman"/>
          <w:sz w:val="32"/>
          <w:szCs w:val="32"/>
        </w:rPr>
        <w:t>发布</w:t>
      </w:r>
      <w:r>
        <w:rPr>
          <w:rFonts w:hint="eastAsia" w:ascii="Times New Roman" w:hAnsi="Times New Roman" w:eastAsia="仿宋_GB2312" w:cs="Times New Roman"/>
          <w:sz w:val="32"/>
          <w:szCs w:val="32"/>
        </w:rPr>
        <w:t>）</w:t>
      </w:r>
      <w:r>
        <w:rPr>
          <w:rFonts w:hint="eastAsia" w:ascii="Times New Roman" w:hAnsi="Times New Roman" w:eastAsia="方正小标宋_GBK" w:cs="Times New Roman"/>
          <w:sz w:val="44"/>
          <w:szCs w:val="44"/>
        </w:rPr>
        <w:br w:type="page"/>
      </w:r>
    </w:p>
    <w:p>
      <w:pPr>
        <w:spacing w:line="560" w:lineRule="exact"/>
        <w:jc w:val="center"/>
        <w:rPr>
          <w:rFonts w:hint="eastAsia" w:ascii="Times New Roman" w:hAnsi="Times New Roman" w:eastAsia="方正小标宋_GBK" w:cs="Times New Roman"/>
          <w:sz w:val="44"/>
          <w:szCs w:val="44"/>
        </w:rPr>
      </w:pPr>
    </w:p>
    <w:p>
      <w:pPr>
        <w:spacing w:line="68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苏州工业园区关于立足新时代 奋进新征程</w:t>
      </w:r>
    </w:p>
    <w:p>
      <w:pPr>
        <w:spacing w:line="68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推进新优质教育行动的实施意见</w:t>
      </w:r>
    </w:p>
    <w:p>
      <w:pPr>
        <w:spacing w:line="560" w:lineRule="exact"/>
        <w:ind w:firstLine="720" w:firstLineChars="200"/>
        <w:rPr>
          <w:rFonts w:hint="eastAsia" w:ascii="Times New Roman" w:hAnsi="Times New Roman" w:eastAsia="黑体" w:cs="Times New Roman"/>
          <w:sz w:val="36"/>
          <w:szCs w:val="32"/>
        </w:rPr>
      </w:pP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为深入贯彻二十大精神和习近平总书记考察江苏、苏州重要讲话重要指示精神，落实《中共中央办公厅 国务院办公厅关于构建优质均衡的基本公共教育服务体系的意见》（中办发〔2023〕2号）要求，在推进“四化”（教育现代化、均衡化、特色化、国际化）、“四区”（教育均衡先行区、素质教育示范区、改革创新先导区和人民满意样板区）、“四个一流”（一流高素质队伍、一流的创新型学校、一流的开放式校园、一流的品质化教育）建设基础上，进一步深化教育改革实践和探索，推动园区教育新一轮跨越式发展，特提出以下实施意见。</w:t>
      </w:r>
    </w:p>
    <w:p>
      <w:pPr>
        <w:spacing w:line="560" w:lineRule="exact"/>
        <w:ind w:firstLine="72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一、指导思想</w:t>
      </w:r>
    </w:p>
    <w:p>
      <w:pPr>
        <w:spacing w:line="560" w:lineRule="exact"/>
        <w:ind w:firstLine="7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全面贯彻党的教育方针和教育强国战略，坚持以人民为中心，坚持高质量发展，积极回应中国式现代化对新时代教育发展的需求，重点聚焦公益普惠和优质均衡价值追求，大力实施新优质教育行动，进一步提高基本公共教育服务水平，办好人民满意的教育。</w:t>
      </w:r>
    </w:p>
    <w:p>
      <w:pPr>
        <w:spacing w:line="560" w:lineRule="exact"/>
        <w:ind w:firstLine="72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二、工作目标</w:t>
      </w:r>
    </w:p>
    <w:p>
      <w:pPr>
        <w:spacing w:line="560" w:lineRule="exact"/>
        <w:ind w:firstLine="7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坚持区域一体，通过政策引领、项目引领、人才引领，着力推进新优质学校、新优质教育集团、新优质教育体系建设，用3-5年时间构建与争创“世界一流高科技园区”相适应的新优质教育基本框架与实践范例，区域教育发展更为均衡，办学水平更加优质，发展活力更加充分，让园区孩子在家门口上到好学校，在地段校遇见好老师。</w:t>
      </w:r>
    </w:p>
    <w:p>
      <w:pPr>
        <w:spacing w:line="560" w:lineRule="exact"/>
        <w:ind w:firstLine="72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三、主要措施</w:t>
      </w:r>
    </w:p>
    <w:p>
      <w:pPr>
        <w:spacing w:line="56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（一）建设新优质学校</w:t>
      </w:r>
    </w:p>
    <w:p>
      <w:pPr>
        <w:spacing w:line="560" w:lineRule="exact"/>
        <w:ind w:firstLine="7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干部赋能工程。聚焦相对薄弱学校管理队伍建设，选优配强管理干部力量。优先调配优秀校长、优秀青年干部到相对薄弱学校交流任职，优先安排相对薄弱学校干部到局机关或品牌学校跟岗锻炼。提拔的学校中层干部近十年须具有1年以上交流经历（若没有交流经历，可在提拔后三年内完成）。对推动学校改薄作出较大贡献的干部给予表彰鼓励，在绩效分配、职称评聘、评先评优、提拔任用等方面给予政策倾斜。</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骨干增量工程。深入落实“县管校聘”制度，更加精准调配骨干教师到相对薄弱学校、相对薄弱学科轮岗交流，交流占比不少于当年全区骨干教师交流数的60%。同时将具有改薄经历作为申报省市级荣誉的必要条件，申报市级以上骨干教师称号的，近十年须具有2年以上教育主管部门认可的交流经历。现有学科带头人超过10人的学校，至少流出1名学科带头人。全区所有学校骨干教师比例到2025年达到40%以上、到2028年达到50%以上。</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 质量提升工程。实施学校学科组队伍建设蓝黄橙红 “四色图”管理模式，采用强弱结对、名师工作坊挂钩、学科教研员蹲点、学科基地驻点、优质教师资源“组团式”送教等多样化帮扶活动，完善清单式管理，定向强化课程、研训、教学和评价等关键育人环节，实现精准改薄全覆盖、高效能。深入推进“两个一”工程建设（家庭是第一个课堂、家长是第一任老师），丰富家庭教育、社会教育，强化协同育人效应，着力提升家庭、社会的育人功能和对学校办学的认可度、支持度。</w:t>
      </w:r>
    </w:p>
    <w:p>
      <w:pPr>
        <w:spacing w:line="56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（二）培育新优质教育集团</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 推进集团全覆盖布局。聚焦全区教育资源再整合、办学结构再优化，分阶段、分层次，梯级推进新一轮集团化办学模式改革，让优质资源更加有效流动起来，促进优质教育集群式发展。在星海教育集团、星湾教育集团先行试点基础上，用1-2年时间，推进学校共同体向新优质教育集团全面转型。</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 落实集团一体化管理。聚焦新优质教育集团运行机制，进一步优化集团党委领导下的一体化文化管理、一体化质量管理、一体化课程教学、一体化教师培育、一体化考核评价，通过“五个一体化”促进教育管理共进、优质资源共用、前瞻改革共研、教师队伍共建、质量提升共享。每年集团内干部轮岗交流、骨干教师走教送教、教师跟岗锻炼比例不少于30%，帮助成员学校纵向追赶、横向比拼，在对标互相学习、对表借鉴经验、对题突破难点中抬高定位。</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cs="Times New Roman"/>
        </w:rPr>
        <w:t xml:space="preserve"> </w:t>
      </w:r>
      <w:r>
        <w:rPr>
          <w:rFonts w:hint="eastAsia" w:ascii="Times New Roman" w:hAnsi="Times New Roman" w:eastAsia="仿宋_GB2312" w:cs="Times New Roman"/>
          <w:sz w:val="32"/>
          <w:szCs w:val="32"/>
        </w:rPr>
        <w:t>实施集团捆绑式考核。制订教育集团综合评价体系，从““五个一体化”等方面，对牵头学校、成员学校分别进行评估考核。考核分数85-100分认定为A等，75-84分认定为B等，60-74分认定为C等，60分以下认定为D等，A、B、C、D四个等级分别对应系数1.1、1.05、1、0.90，学校年度考核五星评价原始分乘以该系数后的结果即为学校五星评价考核的最终得分，突出“考评指挥”，推动整体提升，促进教育优质均衡发展。对推进集团化办学有贡献的管理团队和教师予以表彰，在职称评审、骨干评优等方面优先考虑。</w:t>
      </w:r>
    </w:p>
    <w:p>
      <w:pPr>
        <w:spacing w:line="56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（三）构建新优质教育生态</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 完善教育治理体系。落实中小学校党组织领导的校长负责制，按照规定逐步配齐配足党组织专职书记、副书记，全面增强党组织政治功能和组织功能，构建上下贯通、结构合理、内容全面、关系明确的现代学校治理体系，提升治理能力现代化水平，为推动教育事业高质量发展提供坚强政治保障。高水平推进街道公办幼儿园“达标升级”工作，对标优化全区学前教育资源配置、完善办园条件、规范园所管理、强化队伍建设、提升保教质量，到2026年底全面完成学前教育区域一体化管理改革。</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 优化队伍建设体系。实施新一轮教师队伍建设，通过“六大计划”（大思政计划、青年教师雏鹰计划、骨干教师精进计划、名优教师领航计划、青年干部培育计划、退休教师银龄计划）培养一大批骨干教师、名优教师、专家型校长。优化培养培训体系，深入推进“四项工程”（名优校长引进工程、杰出校长培养工程、青年干部选育工程、校级督学选聘工程），用好“青干班”“青训营”等平台，分层培养、定向赋能、精准滴灌，用三年时间培育10名“种子校长”、100名“种子干部”、1000名“种子教师”。完善交流使用体系，健全区级层面统筹、集团内部调配、学校自主优化三级交流体系，打通学校和教育行政机关干部双向流动、跟岗锻炼通道，加大交流频次、加强交流考评，全面盘活优秀教育人才资源。强化人才激励体系，完善教育奖励制度，用足用好公租房、优租房等人才便利举措，强化政策激励、提升服务保障，着力构建园区教育引才聚才兴才“强磁场”。</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 整合创新育人体系。深化课程教学改革，高质量实施国家课程方案，深入推进国家级课程教学改革，引导学校构建体现办学特色的高质量课程育人体系。高水平推进少年科学院、STEM教育研究院、青少年交响乐团建设，用好智造之家、DNA学习中心、高水平学生运动队等教育平台，系统性推进科创教育、艺术教育、体育教育、劳动教育，在全社会大力弘扬追求真理、勇攀高峰的科学精神，加强国家科普能力建设，切实推进科教融汇，培育具备科学家潜质、愿意献身科学研究事业的青少年群体。聚焦内涵建设，坚持项目驱动、课题牵动，推进大规模因材施教实践探索，用3年时间打造一批重点教育改革项目和课题研究成果，打造教育高位均衡发展园区模式、园区路径。推进教育数字化转型，创建江苏省智慧教育样板区、国家智慧教育示范区优秀样板，建好教育数字基座，支撑新型教与学范式创新，让优质教育资源惠及园区每一个学生。</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 改革教育评价体系。深入推进中共中央 国务院《深化新时代教育评价改革总体方案》、省教育厅《新时代立德树人视域下教育评价改革的区域实践》项目，坚持破立并举、以立为本，推动新时代园区教育综合评价改革，重点围绕高标准均衡办学、高素质教师队伍建设、高素养时代新人培育，构建更加全面、多维、深入的科学评价体系，改进结果评价，强化过程评价，探索增值评价，健全综合评价，提高教育评价的科学性、专业性、客观性。</w:t>
      </w:r>
    </w:p>
    <w:p>
      <w:pPr>
        <w:spacing w:line="560" w:lineRule="exact"/>
        <w:ind w:firstLine="72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四、组织保障</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（一）加强组织领导。</w:t>
      </w:r>
      <w:r>
        <w:rPr>
          <w:rFonts w:hint="eastAsia" w:ascii="Times New Roman" w:hAnsi="Times New Roman" w:eastAsia="仿宋_GB2312" w:cs="Times New Roman"/>
          <w:sz w:val="32"/>
          <w:szCs w:val="32"/>
        </w:rPr>
        <w:t>全面加强党对教育工作的领导，充分发挥党工委教育工作领导小组统筹领导和组织协调作用，指导相关部门制定工作推进方案和保障措施，定期会商研究解决重点难点问题，逐项落实目标任务。</w:t>
      </w:r>
    </w:p>
    <w:p>
      <w:pPr>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sz w:val="32"/>
          <w:szCs w:val="32"/>
        </w:rPr>
        <w:t>（二）加强经费保障。</w:t>
      </w:r>
      <w:r>
        <w:rPr>
          <w:rFonts w:hint="eastAsia" w:ascii="Times New Roman" w:hAnsi="Times New Roman" w:eastAsia="仿宋_GB2312" w:cs="Times New Roman"/>
          <w:kern w:val="0"/>
          <w:sz w:val="32"/>
          <w:szCs w:val="32"/>
        </w:rPr>
        <w:t>坚持教育优先发展，确保教育经费的稳定投入并保持合理增长。继续设立教育内涵专项经费，强化项目评审和经费使用主题实施效果后评价，结合区域教育规模增长实际情况，优化调整经费预算标准。在出台集团一体化考核评价制度机制的基础上，设立集团化办学经费，列入教育局部门预算，规范使用。</w:t>
      </w:r>
    </w:p>
    <w:p>
      <w:pPr>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sz w:val="32"/>
          <w:szCs w:val="32"/>
        </w:rPr>
        <w:t>（三）加强监督检查。</w:t>
      </w:r>
      <w:r>
        <w:rPr>
          <w:rFonts w:hint="eastAsia" w:ascii="Times New Roman" w:hAnsi="Times New Roman" w:eastAsia="仿宋_GB2312" w:cs="Times New Roman"/>
          <w:kern w:val="0"/>
          <w:sz w:val="32"/>
          <w:szCs w:val="32"/>
        </w:rPr>
        <w:t>建立协调联动、督查推动、通报发动、考核促动等工作机制，针对新优质教育行动工作情况及实际成效，</w:t>
      </w:r>
      <w:r>
        <w:rPr>
          <w:rFonts w:hint="eastAsia" w:ascii="Times New Roman" w:hAnsi="Times New Roman" w:eastAsia="仿宋_GB2312" w:cs="Times New Roman"/>
          <w:sz w:val="32"/>
          <w:szCs w:val="32"/>
        </w:rPr>
        <w:t>通过教学视导、督导评估、约谈通报等方式</w:t>
      </w:r>
      <w:r>
        <w:rPr>
          <w:rFonts w:hint="eastAsia" w:ascii="Times New Roman" w:hAnsi="Times New Roman" w:eastAsia="仿宋_GB2312" w:cs="Times New Roman"/>
          <w:kern w:val="0"/>
          <w:sz w:val="32"/>
          <w:szCs w:val="32"/>
        </w:rPr>
        <w:t>定期开展督查督办</w:t>
      </w:r>
      <w:r>
        <w:rPr>
          <w:rFonts w:hint="eastAsia" w:ascii="Times New Roman" w:hAnsi="Times New Roman" w:eastAsia="仿宋_GB2312" w:cs="Times New Roman"/>
          <w:sz w:val="32"/>
          <w:szCs w:val="32"/>
        </w:rPr>
        <w:t>，切实提升新优质教育行动实效</w:t>
      </w:r>
      <w:r>
        <w:rPr>
          <w:rFonts w:hint="eastAsia" w:ascii="Times New Roman" w:hAnsi="Times New Roman" w:eastAsia="仿宋_GB2312" w:cs="Times New Roman"/>
          <w:kern w:val="0"/>
          <w:sz w:val="32"/>
          <w:szCs w:val="32"/>
        </w:rPr>
        <w:t>。</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（四）营造良好氛围。</w:t>
      </w:r>
      <w:r>
        <w:rPr>
          <w:rFonts w:hint="eastAsia" w:ascii="Times New Roman" w:hAnsi="Times New Roman" w:eastAsia="仿宋_GB2312" w:cs="Times New Roman"/>
          <w:sz w:val="32"/>
          <w:szCs w:val="32"/>
        </w:rPr>
        <w:t>坚持正确舆论导向，搭建多种交流平台，大力宣传党的教育方针，及时总结、推广教育改革成功经验和典型案例，展示改革实效，营造良好的社会环境和舆论氛围。</w:t>
      </w:r>
    </w:p>
    <w:p>
      <w:pPr>
        <w:spacing w:line="560" w:lineRule="exact"/>
        <w:jc w:val="center"/>
        <w:rPr>
          <w:rFonts w:hint="eastAsia" w:ascii="Times New Roman" w:hAnsi="Times New Roman" w:eastAsia="华文中宋" w:cs="Times New Roman"/>
          <w:sz w:val="44"/>
          <w:szCs w:val="44"/>
        </w:rPr>
      </w:pPr>
    </w:p>
    <w:p>
      <w:pPr>
        <w:spacing w:line="560" w:lineRule="exact"/>
        <w:jc w:val="right"/>
        <w:rPr>
          <w:rFonts w:hint="eastAsia" w:ascii="Times New Roman" w:hAnsi="Times New Roman" w:eastAsia="仿宋_GB2312" w:cs="Times New Roman"/>
          <w:sz w:val="32"/>
          <w:szCs w:val="32"/>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tbl>
      <w:tblPr>
        <w:tblStyle w:val="5"/>
        <w:tblpPr w:leftFromText="180" w:rightFromText="180" w:vertAnchor="text" w:horzAnchor="page" w:tblpX="1781" w:tblpY="474"/>
        <w:tblOverlap w:val="never"/>
        <w:tblW w:w="8647" w:type="dxa"/>
        <w:tblInd w:w="0" w:type="dxa"/>
        <w:tblBorders>
          <w:top w:val="single" w:color="auto" w:sz="8"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47"/>
      </w:tblGrid>
      <w:tr>
        <w:tblPrEx>
          <w:tblBorders>
            <w:top w:val="single" w:color="auto" w:sz="8"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647" w:type="dxa"/>
            <w:tcBorders>
              <w:top w:val="single" w:color="auto" w:sz="4" w:space="0"/>
              <w:left w:val="nil"/>
              <w:bottom w:val="single" w:color="auto" w:sz="4" w:space="0"/>
              <w:right w:val="nil"/>
            </w:tcBorders>
          </w:tcPr>
          <w:p>
            <w:pPr>
              <w:spacing w:line="400" w:lineRule="exact"/>
              <w:ind w:left="174" w:leftChars="83" w:firstLine="28" w:firstLineChars="1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抄送：人大工委</w:t>
            </w:r>
          </w:p>
        </w:tc>
      </w:tr>
      <w:tr>
        <w:tblPrEx>
          <w:tblBorders>
            <w:top w:val="single" w:color="auto" w:sz="8"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647" w:type="dxa"/>
            <w:tcBorders>
              <w:top w:val="single" w:color="auto" w:sz="4" w:space="0"/>
              <w:left w:val="nil"/>
              <w:bottom w:val="single" w:color="auto" w:sz="4" w:space="0"/>
              <w:right w:val="nil"/>
            </w:tcBorders>
          </w:tcPr>
          <w:p>
            <w:pPr>
              <w:spacing w:line="400" w:lineRule="exact"/>
              <w:ind w:left="174" w:leftChars="83" w:firstLine="28" w:firstLineChars="10"/>
              <w:jc w:val="lef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苏州工业园区党政办公室               2023年10月11日印发 </w:t>
            </w:r>
          </w:p>
        </w:tc>
      </w:tr>
    </w:tbl>
    <w:p>
      <w:pPr>
        <w:spacing w:line="20" w:lineRule="exact"/>
        <w:rPr>
          <w:rFonts w:hint="eastAsia" w:ascii="Times New Roman" w:hAnsi="Times New Roman" w:cs="Times New Roman"/>
        </w:rPr>
      </w:pPr>
    </w:p>
    <w:sectPr>
      <w:footerReference r:id="rId3" w:type="default"/>
      <w:footerReference r:id="rId4" w:type="even"/>
      <w:pgSz w:w="11906" w:h="16838"/>
      <w:pgMar w:top="2041" w:right="1559" w:bottom="1928" w:left="1559"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Times New Roman" w:asciiTheme="minorEastAsia" w:hAnsiTheme="minorEastAsia"/>
        <w:sz w:val="28"/>
        <w:szCs w:val="28"/>
      </w:rPr>
      <w:id w:val="-1"/>
      <w:docPartObj>
        <w:docPartGallery w:val="autotext"/>
      </w:docPartObj>
    </w:sdtPr>
    <w:sdtEndPr>
      <w:rPr>
        <w:rFonts w:cs="Times New Roman" w:asciiTheme="minorEastAsia" w:hAnsiTheme="minorEastAsia"/>
        <w:sz w:val="28"/>
        <w:szCs w:val="28"/>
      </w:rPr>
    </w:sdtEndPr>
    <w:sdtContent>
      <w:p>
        <w:pPr>
          <w:pStyle w:val="3"/>
          <w:ind w:right="210" w:rightChars="100"/>
          <w:jc w:val="right"/>
          <w:rPr>
            <w:rFonts w:cs="Times New Roman" w:asciiTheme="minorEastAsia" w:hAnsiTheme="minorEastAsia"/>
            <w:sz w:val="28"/>
            <w:szCs w:val="28"/>
          </w:rPr>
        </w:pPr>
        <w:r>
          <w:rPr>
            <w:rFonts w:cs="Times New Roman"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1</w:t>
        </w:r>
        <w:r>
          <w:rPr>
            <w:rFonts w:cs="Times New Roman" w:asciiTheme="minorEastAsia" w:hAnsiTheme="minorEastAsia"/>
            <w:sz w:val="28"/>
            <w:szCs w:val="28"/>
          </w:rPr>
          <w:fldChar w:fldCharType="end"/>
        </w:r>
        <w:r>
          <w:rPr>
            <w:rFonts w:cs="Times New Roman"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Theme="minorEastAsia" w:hAnsiTheme="minorEastAsia"/>
        <w:sz w:val="28"/>
        <w:szCs w:val="28"/>
      </w:rPr>
    </w:pPr>
    <w:r>
      <w:rPr>
        <w:rFonts w:asciiTheme="minorEastAsia" w:hAnsiTheme="minorEastAsia"/>
        <w:sz w:val="28"/>
        <w:szCs w:val="28"/>
      </w:rPr>
      <w:t>—</w:t>
    </w:r>
    <w:sdt>
      <w:sdtPr>
        <w:rPr>
          <w:rFonts w:cs="Times New Roman" w:asciiTheme="minorEastAsia" w:hAnsiTheme="minorEastAsia"/>
          <w:sz w:val="28"/>
          <w:szCs w:val="28"/>
        </w:rPr>
        <w:id w:val="-1"/>
        <w:docPartObj>
          <w:docPartGallery w:val="autotext"/>
        </w:docPartObj>
      </w:sdtPr>
      <w:sdtEndPr>
        <w:rPr>
          <w:rFonts w:cs="Times New Roman" w:asciiTheme="minorEastAsia" w:hAnsiTheme="minorEastAsia"/>
          <w:sz w:val="28"/>
          <w:szCs w:val="28"/>
        </w:rPr>
      </w:sdtEndPr>
      <w:sdtContent>
        <w:r>
          <w:rPr>
            <w:rFonts w:cs="Times New Roman"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2</w:t>
        </w:r>
        <w:r>
          <w:rPr>
            <w:rFonts w:cs="Times New Roman" w:asciiTheme="minorEastAsia" w:hAnsiTheme="minorEastAsia"/>
            <w:sz w:val="28"/>
            <w:szCs w:val="28"/>
          </w:rPr>
          <w:fldChar w:fldCharType="end"/>
        </w:r>
        <w:r>
          <w:rPr>
            <w:rFonts w:cs="Times New Roman" w:asciiTheme="minorEastAsia" w:hAnsiTheme="minorEastAsia"/>
            <w:sz w:val="28"/>
            <w:szCs w:val="28"/>
          </w:rPr>
          <w:t xml:space="preserve"> </w:t>
        </w:r>
      </w:sdtContent>
    </w:sdt>
    <w:r>
      <w:rPr>
        <w:rFonts w:asciiTheme="minorEastAsia" w:hAnsi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kMjRkMGZmNDAxN2Y2MzExNTcyOWZiNzEzYzBkZTcifQ=="/>
  </w:docVars>
  <w:rsids>
    <w:rsidRoot w:val="000B52E7"/>
    <w:rsid w:val="000B52E7"/>
    <w:rsid w:val="00113F49"/>
    <w:rsid w:val="00121FD9"/>
    <w:rsid w:val="00197A9D"/>
    <w:rsid w:val="002E40C3"/>
    <w:rsid w:val="002F069F"/>
    <w:rsid w:val="003F5D4A"/>
    <w:rsid w:val="00483E84"/>
    <w:rsid w:val="004923E2"/>
    <w:rsid w:val="005D3262"/>
    <w:rsid w:val="0086067C"/>
    <w:rsid w:val="00B54680"/>
    <w:rsid w:val="00BD35C7"/>
    <w:rsid w:val="00C24D60"/>
    <w:rsid w:val="00C6524E"/>
    <w:rsid w:val="00CA444E"/>
    <w:rsid w:val="00D0375B"/>
    <w:rsid w:val="00D140FA"/>
    <w:rsid w:val="00DF6D61"/>
    <w:rsid w:val="00F80DCA"/>
    <w:rsid w:val="00F83981"/>
    <w:rsid w:val="6FFF9178"/>
    <w:rsid w:val="75C14A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uiPriority w:val="99"/>
    <w:rPr>
      <w:sz w:val="18"/>
      <w:szCs w:val="18"/>
    </w:rPr>
  </w:style>
  <w:style w:type="character" w:customStyle="1" w:styleId="9">
    <w:name w:val="批注框文本 Char"/>
    <w:basedOn w:val="7"/>
    <w:link w:val="2"/>
    <w:semiHidden/>
    <w:uiPriority w:val="99"/>
    <w:rPr>
      <w:sz w:val="18"/>
      <w:szCs w:val="18"/>
    </w:rPr>
  </w:style>
  <w:style w:type="paragraph" w:customStyle="1" w:styleId="10">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1">
    <w:name w:val="页眉 Char"/>
    <w:basedOn w:val="7"/>
    <w:link w:val="4"/>
    <w:uiPriority w:val="99"/>
    <w:rPr>
      <w:sz w:val="18"/>
      <w:szCs w:val="18"/>
    </w:rPr>
  </w:style>
  <w:style w:type="paragraph" w:customStyle="1" w:styleId="12">
    <w:name w:val="段"/>
    <w:next w:val="1"/>
    <w:qFormat/>
    <w:uiPriority w:val="0"/>
    <w:pPr>
      <w:autoSpaceDE w:val="0"/>
      <w:autoSpaceDN w:val="0"/>
      <w:ind w:firstLine="200"/>
      <w:jc w:val="both"/>
    </w:pPr>
    <w:rPr>
      <w:rFonts w:ascii="宋体" w:hAnsi="Times New Roman" w:eastAsia="宋体" w:cs="Times New Roman"/>
      <w:kern w:val="0"/>
      <w:sz w:val="21"/>
      <w:szCs w:val="22"/>
      <w:lang w:val="en-US" w:eastAsia="zh-CN" w:bidi="ar-SA"/>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3B737587-18C8-4083-B26C-DA52C1466C20}">
  <ds:schemaRefs/>
</ds:datastoreItem>
</file>

<file path=docProps/app.xml><?xml version="1.0" encoding="utf-8"?>
<Properties xmlns="http://schemas.openxmlformats.org/officeDocument/2006/extended-properties" xmlns:vt="http://schemas.openxmlformats.org/officeDocument/2006/docPropsVTypes">
  <Company>微软中国</Company>
  <Pages>8</Pages>
  <Words>563</Words>
  <Characters>3211</Characters>
  <Lines>26</Lines>
  <Paragraphs>7</Paragraphs>
  <TotalTime>0</TotalTime>
  <ScaleCrop>false</ScaleCrop>
  <LinksUpToDate>false</LinksUpToDate>
  <CharactersWithSpaces>3767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2023-10-12T09:07:00Z</dcterms:created>
  <dc:creator>陈宁笛</dc:creator>
  <cp:lastModifiedBy>星海</cp:lastModifiedBy>
  <cp:lastPrinted>2022-01-11T16:53:00Z</cp:lastPrinted>
  <dcterms:modified xsi:type="dcterms:W3CDTF">2023-12-20T07:31:32Z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4D9F1E9D3DED47A0B374DB3F3DA803A8_12</vt:lpwstr>
  </property>
</Properties>
</file>