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600"/>
        <w:rPr>
          <w:highlight w:val="none"/>
        </w:rPr>
      </w:pPr>
    </w:p>
    <w:p>
      <w:pPr>
        <w:rPr>
          <w:rFonts w:eastAsia="方正小标宋_GBK"/>
          <w:sz w:val="44"/>
          <w:szCs w:val="44"/>
          <w:highlight w:val="none"/>
        </w:rPr>
      </w:pPr>
    </w:p>
    <w:p>
      <w:pPr>
        <w:jc w:val="center"/>
        <w:outlineLvl w:val="0"/>
        <w:rPr>
          <w:rFonts w:ascii="方正小标宋_GBK" w:eastAsia="方正小标宋_GBK"/>
          <w:sz w:val="44"/>
          <w:szCs w:val="44"/>
          <w:highlight w:val="none"/>
        </w:rPr>
      </w:pPr>
      <w:bookmarkStart w:id="0" w:name="_Toc7591"/>
      <w:bookmarkStart w:id="1" w:name="_Toc136611242"/>
      <w:bookmarkStart w:id="2" w:name="_Toc12568"/>
      <w:r>
        <w:rPr>
          <w:rFonts w:hint="eastAsia" w:ascii="方正小标宋_GBK" w:hAnsi="方正小标宋_GBK" w:eastAsia="方正小标宋_GBK" w:cs="方正小标宋_GBK"/>
          <w:sz w:val="44"/>
          <w:szCs w:val="44"/>
          <w:highlight w:val="none"/>
        </w:rPr>
        <w:t>昆山市制造业发展“十四五”规划</w:t>
      </w:r>
      <w:bookmarkEnd w:id="0"/>
      <w:bookmarkEnd w:id="1"/>
      <w:bookmarkEnd w:id="2"/>
    </w:p>
    <w:p>
      <w:pPr>
        <w:jc w:val="center"/>
        <w:rPr>
          <w:rFonts w:ascii="楷体_GB2312" w:eastAsia="楷体_GB2312"/>
          <w:sz w:val="32"/>
          <w:szCs w:val="32"/>
          <w:highlight w:val="none"/>
        </w:rPr>
      </w:pPr>
    </w:p>
    <w:p>
      <w:pPr>
        <w:jc w:val="center"/>
        <w:rPr>
          <w:rFonts w:eastAsia="方正楷体_GBK"/>
          <w:b/>
          <w:bCs/>
          <w:highlight w:val="none"/>
        </w:rPr>
      </w:pPr>
    </w:p>
    <w:p>
      <w:pPr>
        <w:jc w:val="center"/>
        <w:rPr>
          <w:rFonts w:eastAsia="方正楷体_GBK"/>
          <w:b/>
          <w:bCs/>
          <w:highlight w:val="none"/>
        </w:rPr>
      </w:pPr>
    </w:p>
    <w:p>
      <w:pPr>
        <w:pStyle w:val="4"/>
        <w:rPr>
          <w:rFonts w:eastAsia="方正楷体_GBK"/>
          <w:b/>
          <w:bCs/>
          <w:highlight w:val="none"/>
        </w:rPr>
      </w:pPr>
    </w:p>
    <w:p>
      <w:pPr>
        <w:pStyle w:val="4"/>
        <w:rPr>
          <w:rFonts w:eastAsia="方正楷体_GBK"/>
          <w:b/>
          <w:bCs/>
          <w:highlight w:val="none"/>
        </w:rPr>
      </w:pPr>
    </w:p>
    <w:p>
      <w:pPr>
        <w:pStyle w:val="4"/>
        <w:rPr>
          <w:rFonts w:eastAsia="方正楷体_GBK"/>
          <w:b/>
          <w:bCs/>
          <w:highlight w:val="none"/>
        </w:rPr>
      </w:pPr>
    </w:p>
    <w:p>
      <w:pPr>
        <w:pStyle w:val="5"/>
        <w:rPr>
          <w:rFonts w:eastAsia="方正楷体_GBK"/>
          <w:b/>
          <w:bCs/>
          <w:highlight w:val="none"/>
        </w:rPr>
      </w:pPr>
    </w:p>
    <w:p>
      <w:pPr>
        <w:pStyle w:val="6"/>
        <w:ind w:firstLine="643"/>
        <w:rPr>
          <w:rFonts w:eastAsia="方正楷体_GBK" w:cs="Times New Roman"/>
          <w:b/>
          <w:bCs/>
          <w:highlight w:val="none"/>
        </w:rPr>
      </w:pPr>
    </w:p>
    <w:p>
      <w:pPr>
        <w:rPr>
          <w:rFonts w:eastAsia="方正楷体_GBK"/>
          <w:b/>
          <w:bCs/>
          <w:highlight w:val="none"/>
        </w:rPr>
      </w:pPr>
    </w:p>
    <w:p>
      <w:pPr>
        <w:pStyle w:val="2"/>
        <w:rPr>
          <w:rFonts w:eastAsia="方正楷体_GBK"/>
          <w:b/>
          <w:bCs/>
          <w:highlight w:val="none"/>
        </w:rPr>
      </w:pPr>
    </w:p>
    <w:p>
      <w:pPr>
        <w:rPr>
          <w:rFonts w:eastAsia="方正楷体_GBK"/>
          <w:b/>
          <w:bCs/>
          <w:highlight w:val="none"/>
        </w:rPr>
      </w:pPr>
    </w:p>
    <w:p>
      <w:pPr>
        <w:pStyle w:val="2"/>
        <w:rPr>
          <w:highlight w:val="none"/>
        </w:rPr>
      </w:pPr>
    </w:p>
    <w:p>
      <w:pPr>
        <w:pStyle w:val="4"/>
        <w:rPr>
          <w:rFonts w:eastAsia="方正楷体_GBK"/>
          <w:b/>
          <w:bCs/>
          <w:highlight w:val="none"/>
        </w:rPr>
      </w:pPr>
    </w:p>
    <w:p>
      <w:pPr>
        <w:pStyle w:val="4"/>
        <w:rPr>
          <w:rFonts w:eastAsia="方正楷体_GBK"/>
          <w:b/>
          <w:bCs/>
          <w:highlight w:val="none"/>
        </w:rPr>
      </w:pPr>
    </w:p>
    <w:p>
      <w:pPr>
        <w:pStyle w:val="4"/>
        <w:rPr>
          <w:rFonts w:eastAsia="方正楷体_GBK"/>
          <w:b/>
          <w:bCs/>
          <w:highlight w:val="none"/>
        </w:rPr>
      </w:pPr>
    </w:p>
    <w:p>
      <w:pPr>
        <w:pStyle w:val="4"/>
        <w:rPr>
          <w:rFonts w:eastAsia="方正楷体_GBK"/>
          <w:b/>
          <w:bCs/>
          <w:highlight w:val="none"/>
        </w:rPr>
      </w:pPr>
    </w:p>
    <w:p>
      <w:pPr>
        <w:jc w:val="center"/>
        <w:rPr>
          <w:rFonts w:eastAsia="方正楷体_GBK"/>
          <w:b/>
          <w:bCs/>
          <w:highlight w:val="none"/>
        </w:rPr>
      </w:pPr>
    </w:p>
    <w:p>
      <w:pPr>
        <w:pStyle w:val="4"/>
        <w:ind w:firstLine="600"/>
        <w:rPr>
          <w:highlight w:val="none"/>
        </w:rPr>
      </w:pPr>
    </w:p>
    <w:p>
      <w:pPr>
        <w:ind w:firstLine="640"/>
        <w:rPr>
          <w:color w:val="000000"/>
          <w:szCs w:val="32"/>
          <w:highlight w:val="none"/>
        </w:rPr>
        <w:sectPr>
          <w:headerReference r:id="rId4" w:type="first"/>
          <w:footerReference r:id="rId7" w:type="first"/>
          <w:footerReference r:id="rId5" w:type="default"/>
          <w:headerReference r:id="rId3" w:type="even"/>
          <w:footerReference r:id="rId6" w:type="even"/>
          <w:pgSz w:w="11906" w:h="16838"/>
          <w:pgMar w:top="2098" w:right="1361" w:bottom="1418" w:left="1588" w:header="851" w:footer="992" w:gutter="0"/>
          <w:pgNumType w:fmt="numberInDash"/>
          <w:cols w:space="720" w:num="1"/>
          <w:docGrid w:type="lines" w:linePitch="312" w:charSpace="0"/>
        </w:sectPr>
      </w:pPr>
    </w:p>
    <w:p>
      <w:pPr>
        <w:jc w:val="center"/>
        <w:rPr>
          <w:rFonts w:eastAsia="方正黑体_GBK"/>
          <w:sz w:val="32"/>
          <w:szCs w:val="32"/>
          <w:highlight w:val="none"/>
        </w:rPr>
      </w:pPr>
      <w:r>
        <w:rPr>
          <w:rFonts w:eastAsia="Arial Unicode MS"/>
          <w:sz w:val="44"/>
          <w:szCs w:val="44"/>
          <w:highlight w:val="none"/>
        </w:rPr>
        <w:t>目  录</w:t>
      </w:r>
    </w:p>
    <w:p>
      <w:pPr>
        <w:pStyle w:val="9"/>
        <w:tabs>
          <w:tab w:val="right" w:leader="dot" w:pos="8957"/>
        </w:tabs>
        <w:rPr>
          <w:highlight w:val="none"/>
        </w:rPr>
      </w:pPr>
      <w:r>
        <w:rPr>
          <w:rFonts w:eastAsia="楷体_GB2312"/>
          <w:sz w:val="32"/>
          <w:szCs w:val="32"/>
          <w:highlight w:val="none"/>
        </w:rPr>
        <w:fldChar w:fldCharType="begin"/>
      </w:r>
      <w:r>
        <w:rPr>
          <w:rFonts w:eastAsia="楷体_GB2312"/>
          <w:sz w:val="32"/>
          <w:szCs w:val="32"/>
          <w:highlight w:val="none"/>
        </w:rPr>
        <w:instrText xml:space="preserve"> TOC \o "1-2" \h \u </w:instrText>
      </w:r>
      <w:r>
        <w:rPr>
          <w:rFonts w:eastAsia="楷体_GB2312"/>
          <w:sz w:val="32"/>
          <w:szCs w:val="32"/>
          <w:highlight w:val="none"/>
        </w:rPr>
        <w:fldChar w:fldCharType="separate"/>
      </w:r>
    </w:p>
    <w:p>
      <w:pPr>
        <w:pStyle w:val="9"/>
        <w:tabs>
          <w:tab w:val="right" w:leader="dot" w:pos="8957"/>
        </w:tabs>
        <w:rPr>
          <w:sz w:val="32"/>
          <w:szCs w:val="32"/>
          <w:highlight w:val="none"/>
        </w:rPr>
      </w:pPr>
      <w:r>
        <w:rPr>
          <w:highlight w:val="none"/>
        </w:rPr>
        <w:fldChar w:fldCharType="begin"/>
      </w:r>
      <w:r>
        <w:rPr>
          <w:highlight w:val="none"/>
        </w:rPr>
        <w:instrText xml:space="preserve"> HYPERLINK \l "_Toc6551" </w:instrText>
      </w:r>
      <w:r>
        <w:rPr>
          <w:highlight w:val="none"/>
        </w:rPr>
        <w:fldChar w:fldCharType="separate"/>
      </w:r>
      <w:r>
        <w:rPr>
          <w:rFonts w:eastAsia="方正黑体_GBK"/>
          <w:sz w:val="32"/>
          <w:szCs w:val="32"/>
          <w:highlight w:val="none"/>
        </w:rPr>
        <w:t>前    言</w:t>
      </w:r>
      <w:r>
        <w:rPr>
          <w:sz w:val="32"/>
          <w:szCs w:val="32"/>
          <w:highlight w:val="none"/>
        </w:rPr>
        <w:tab/>
      </w:r>
      <w:r>
        <w:rPr>
          <w:sz w:val="32"/>
          <w:szCs w:val="32"/>
          <w:highlight w:val="none"/>
        </w:rPr>
        <w:fldChar w:fldCharType="begin"/>
      </w:r>
      <w:r>
        <w:rPr>
          <w:sz w:val="32"/>
          <w:szCs w:val="32"/>
          <w:highlight w:val="none"/>
        </w:rPr>
        <w:instrText xml:space="preserve"> PAGEREF _Toc6551 \h </w:instrText>
      </w:r>
      <w:r>
        <w:rPr>
          <w:sz w:val="32"/>
          <w:szCs w:val="32"/>
          <w:highlight w:val="none"/>
        </w:rPr>
        <w:fldChar w:fldCharType="separate"/>
      </w:r>
      <w:r>
        <w:rPr>
          <w:sz w:val="32"/>
          <w:szCs w:val="32"/>
          <w:highlight w:val="none"/>
        </w:rPr>
        <w:t>3</w:t>
      </w:r>
      <w:r>
        <w:rPr>
          <w:sz w:val="32"/>
          <w:szCs w:val="32"/>
          <w:highlight w:val="none"/>
        </w:rPr>
        <w:fldChar w:fldCharType="end"/>
      </w:r>
      <w:r>
        <w:rPr>
          <w:sz w:val="32"/>
          <w:szCs w:val="32"/>
          <w:highlight w:val="none"/>
        </w:rPr>
        <w:fldChar w:fldCharType="end"/>
      </w:r>
    </w:p>
    <w:p>
      <w:pPr>
        <w:pStyle w:val="9"/>
        <w:tabs>
          <w:tab w:val="right" w:leader="dot" w:pos="8957"/>
        </w:tabs>
        <w:rPr>
          <w:sz w:val="32"/>
          <w:szCs w:val="32"/>
          <w:highlight w:val="none"/>
        </w:rPr>
      </w:pPr>
      <w:r>
        <w:rPr>
          <w:highlight w:val="none"/>
        </w:rPr>
        <w:fldChar w:fldCharType="begin"/>
      </w:r>
      <w:r>
        <w:rPr>
          <w:highlight w:val="none"/>
        </w:rPr>
        <w:instrText xml:space="preserve"> HYPERLINK \l "_Toc6160" </w:instrText>
      </w:r>
      <w:r>
        <w:rPr>
          <w:highlight w:val="none"/>
        </w:rPr>
        <w:fldChar w:fldCharType="separate"/>
      </w:r>
      <w:r>
        <w:rPr>
          <w:rFonts w:eastAsia="黑体"/>
          <w:sz w:val="32"/>
          <w:szCs w:val="32"/>
          <w:highlight w:val="none"/>
        </w:rPr>
        <w:t>一、发展基础和面临形势</w:t>
      </w:r>
      <w:r>
        <w:rPr>
          <w:sz w:val="32"/>
          <w:szCs w:val="32"/>
          <w:highlight w:val="none"/>
        </w:rPr>
        <w:tab/>
      </w:r>
      <w:r>
        <w:rPr>
          <w:sz w:val="32"/>
          <w:szCs w:val="32"/>
          <w:highlight w:val="none"/>
        </w:rPr>
        <w:fldChar w:fldCharType="begin"/>
      </w:r>
      <w:r>
        <w:rPr>
          <w:sz w:val="32"/>
          <w:szCs w:val="32"/>
          <w:highlight w:val="none"/>
        </w:rPr>
        <w:instrText xml:space="preserve"> PAGEREF _Toc6160 \h </w:instrText>
      </w:r>
      <w:r>
        <w:rPr>
          <w:sz w:val="32"/>
          <w:szCs w:val="32"/>
          <w:highlight w:val="none"/>
        </w:rPr>
        <w:fldChar w:fldCharType="separate"/>
      </w:r>
      <w:r>
        <w:rPr>
          <w:sz w:val="32"/>
          <w:szCs w:val="32"/>
          <w:highlight w:val="none"/>
        </w:rPr>
        <w:t>4</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"_Toc24698" </w:instrText>
      </w:r>
      <w:r>
        <w:rPr>
          <w:highlight w:val="none"/>
        </w:rPr>
        <w:fldChar w:fldCharType="separate"/>
      </w:r>
      <w:r>
        <w:rPr>
          <w:rFonts w:eastAsia="楷体_GB2312"/>
          <w:bCs/>
          <w:kern w:val="0"/>
          <w:sz w:val="32"/>
          <w:szCs w:val="32"/>
          <w:highlight w:val="none"/>
        </w:rPr>
        <w:t>（一）发展基础</w:t>
      </w:r>
      <w:r>
        <w:rPr>
          <w:sz w:val="32"/>
          <w:szCs w:val="32"/>
          <w:highlight w:val="none"/>
        </w:rPr>
        <w:tab/>
      </w:r>
      <w:r>
        <w:rPr>
          <w:sz w:val="32"/>
          <w:szCs w:val="32"/>
          <w:highlight w:val="none"/>
        </w:rPr>
        <w:fldChar w:fldCharType="begin"/>
      </w:r>
      <w:r>
        <w:rPr>
          <w:sz w:val="32"/>
          <w:szCs w:val="32"/>
          <w:highlight w:val="none"/>
        </w:rPr>
        <w:instrText xml:space="preserve"> PAGEREF _Toc24698 \h </w:instrText>
      </w:r>
      <w:r>
        <w:rPr>
          <w:sz w:val="32"/>
          <w:szCs w:val="32"/>
          <w:highlight w:val="none"/>
        </w:rPr>
        <w:fldChar w:fldCharType="separate"/>
      </w:r>
      <w:r>
        <w:rPr>
          <w:sz w:val="32"/>
          <w:szCs w:val="32"/>
          <w:highlight w:val="none"/>
        </w:rPr>
        <w:t>4</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"_Toc17770" </w:instrText>
      </w:r>
      <w:r>
        <w:rPr>
          <w:highlight w:val="none"/>
        </w:rPr>
        <w:fldChar w:fldCharType="separate"/>
      </w:r>
      <w:r>
        <w:rPr>
          <w:rFonts w:eastAsia="楷体_GB2312"/>
          <w:bCs/>
          <w:kern w:val="0"/>
          <w:sz w:val="32"/>
          <w:szCs w:val="32"/>
          <w:highlight w:val="none"/>
        </w:rPr>
        <w:t>（二）面临形势</w:t>
      </w:r>
      <w:r>
        <w:rPr>
          <w:sz w:val="32"/>
          <w:szCs w:val="32"/>
          <w:highlight w:val="none"/>
        </w:rPr>
        <w:tab/>
      </w:r>
      <w:r>
        <w:rPr>
          <w:sz w:val="32"/>
          <w:szCs w:val="32"/>
          <w:highlight w:val="none"/>
        </w:rPr>
        <w:fldChar w:fldCharType="begin"/>
      </w:r>
      <w:r>
        <w:rPr>
          <w:sz w:val="32"/>
          <w:szCs w:val="32"/>
          <w:highlight w:val="none"/>
        </w:rPr>
        <w:instrText xml:space="preserve"> PAGEREF _Toc17770 \h </w:instrText>
      </w:r>
      <w:r>
        <w:rPr>
          <w:sz w:val="32"/>
          <w:szCs w:val="32"/>
          <w:highlight w:val="none"/>
        </w:rPr>
        <w:fldChar w:fldCharType="separate"/>
      </w:r>
      <w:r>
        <w:rPr>
          <w:sz w:val="32"/>
          <w:szCs w:val="32"/>
          <w:highlight w:val="none"/>
        </w:rPr>
        <w:t>7</w:t>
      </w:r>
      <w:r>
        <w:rPr>
          <w:sz w:val="32"/>
          <w:szCs w:val="32"/>
          <w:highlight w:val="none"/>
        </w:rPr>
        <w:fldChar w:fldCharType="end"/>
      </w:r>
      <w:r>
        <w:rPr>
          <w:sz w:val="32"/>
          <w:szCs w:val="32"/>
          <w:highlight w:val="none"/>
        </w:rPr>
        <w:fldChar w:fldCharType="end"/>
      </w:r>
    </w:p>
    <w:p>
      <w:pPr>
        <w:pStyle w:val="9"/>
        <w:tabs>
          <w:tab w:val="right" w:leader="dot" w:pos="8957"/>
        </w:tabs>
        <w:rPr>
          <w:sz w:val="32"/>
          <w:szCs w:val="32"/>
          <w:highlight w:val="none"/>
        </w:rPr>
      </w:pPr>
      <w:r>
        <w:rPr>
          <w:highlight w:val="none"/>
        </w:rPr>
        <w:fldChar w:fldCharType="begin"/>
      </w:r>
      <w:r>
        <w:rPr>
          <w:highlight w:val="none"/>
        </w:rPr>
        <w:instrText xml:space="preserve"> HYPERLINK \l "_Toc32517" </w:instrText>
      </w:r>
      <w:r>
        <w:rPr>
          <w:highlight w:val="none"/>
        </w:rPr>
        <w:fldChar w:fldCharType="separate"/>
      </w:r>
      <w:r>
        <w:rPr>
          <w:rFonts w:eastAsia="黑体"/>
          <w:sz w:val="32"/>
          <w:szCs w:val="32"/>
          <w:highlight w:val="none"/>
        </w:rPr>
        <w:t>二、总体思路</w:t>
      </w:r>
      <w:r>
        <w:rPr>
          <w:sz w:val="32"/>
          <w:szCs w:val="32"/>
          <w:highlight w:val="none"/>
        </w:rPr>
        <w:tab/>
      </w:r>
      <w:r>
        <w:rPr>
          <w:sz w:val="32"/>
          <w:szCs w:val="32"/>
          <w:highlight w:val="none"/>
        </w:rPr>
        <w:fldChar w:fldCharType="begin"/>
      </w:r>
      <w:r>
        <w:rPr>
          <w:sz w:val="32"/>
          <w:szCs w:val="32"/>
          <w:highlight w:val="none"/>
        </w:rPr>
        <w:instrText xml:space="preserve"> PAGEREF _Toc32517 \h </w:instrText>
      </w:r>
      <w:r>
        <w:rPr>
          <w:sz w:val="32"/>
          <w:szCs w:val="32"/>
          <w:highlight w:val="none"/>
        </w:rPr>
        <w:fldChar w:fldCharType="separate"/>
      </w:r>
      <w:r>
        <w:rPr>
          <w:sz w:val="32"/>
          <w:szCs w:val="32"/>
          <w:highlight w:val="none"/>
        </w:rPr>
        <w:t>9</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"_Toc28703" </w:instrText>
      </w:r>
      <w:r>
        <w:rPr>
          <w:highlight w:val="none"/>
        </w:rPr>
        <w:fldChar w:fldCharType="separate"/>
      </w:r>
      <w:r>
        <w:rPr>
          <w:rFonts w:eastAsia="楷体_GB2312"/>
          <w:bCs/>
          <w:kern w:val="0"/>
          <w:sz w:val="32"/>
          <w:szCs w:val="32"/>
          <w:highlight w:val="none"/>
        </w:rPr>
        <w:t>（一）指导思想</w:t>
      </w:r>
      <w:r>
        <w:rPr>
          <w:sz w:val="32"/>
          <w:szCs w:val="32"/>
          <w:highlight w:val="none"/>
        </w:rPr>
        <w:tab/>
      </w:r>
      <w:r>
        <w:rPr>
          <w:sz w:val="32"/>
          <w:szCs w:val="32"/>
          <w:highlight w:val="none"/>
        </w:rPr>
        <w:fldChar w:fldCharType="begin"/>
      </w:r>
      <w:r>
        <w:rPr>
          <w:sz w:val="32"/>
          <w:szCs w:val="32"/>
          <w:highlight w:val="none"/>
        </w:rPr>
        <w:instrText xml:space="preserve"> PAGEREF _Toc28703 \h </w:instrText>
      </w:r>
      <w:r>
        <w:rPr>
          <w:sz w:val="32"/>
          <w:szCs w:val="32"/>
          <w:highlight w:val="none"/>
        </w:rPr>
        <w:fldChar w:fldCharType="separate"/>
      </w:r>
      <w:r>
        <w:rPr>
          <w:sz w:val="32"/>
          <w:szCs w:val="32"/>
          <w:highlight w:val="none"/>
        </w:rPr>
        <w:t>10</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"_Toc32127" </w:instrText>
      </w:r>
      <w:r>
        <w:rPr>
          <w:highlight w:val="none"/>
        </w:rPr>
        <w:fldChar w:fldCharType="separate"/>
      </w:r>
      <w:r>
        <w:rPr>
          <w:rFonts w:eastAsia="楷体_GB2312"/>
          <w:bCs/>
          <w:kern w:val="0"/>
          <w:sz w:val="32"/>
          <w:szCs w:val="32"/>
          <w:highlight w:val="none"/>
        </w:rPr>
        <w:t>（二）基本原则</w:t>
      </w:r>
      <w:r>
        <w:rPr>
          <w:sz w:val="32"/>
          <w:szCs w:val="32"/>
          <w:highlight w:val="none"/>
        </w:rPr>
        <w:tab/>
      </w:r>
      <w:r>
        <w:rPr>
          <w:sz w:val="32"/>
          <w:szCs w:val="32"/>
          <w:highlight w:val="none"/>
        </w:rPr>
        <w:fldChar w:fldCharType="begin"/>
      </w:r>
      <w:r>
        <w:rPr>
          <w:sz w:val="32"/>
          <w:szCs w:val="32"/>
          <w:highlight w:val="none"/>
        </w:rPr>
        <w:instrText xml:space="preserve"> PAGEREF _Toc32127 \h </w:instrText>
      </w:r>
      <w:r>
        <w:rPr>
          <w:sz w:val="32"/>
          <w:szCs w:val="32"/>
          <w:highlight w:val="none"/>
        </w:rPr>
        <w:fldChar w:fldCharType="separate"/>
      </w:r>
      <w:r>
        <w:rPr>
          <w:sz w:val="32"/>
          <w:szCs w:val="32"/>
          <w:highlight w:val="none"/>
        </w:rPr>
        <w:t>10</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"_Toc17418" </w:instrText>
      </w:r>
      <w:r>
        <w:rPr>
          <w:highlight w:val="none"/>
        </w:rPr>
        <w:fldChar w:fldCharType="separate"/>
      </w:r>
      <w:r>
        <w:rPr>
          <w:rFonts w:eastAsia="楷体_GB2312"/>
          <w:bCs/>
          <w:kern w:val="0"/>
          <w:sz w:val="32"/>
          <w:szCs w:val="32"/>
          <w:highlight w:val="none"/>
        </w:rPr>
        <w:t>（三）发展目标</w:t>
      </w:r>
      <w:r>
        <w:rPr>
          <w:sz w:val="32"/>
          <w:szCs w:val="32"/>
          <w:highlight w:val="none"/>
        </w:rPr>
        <w:tab/>
      </w:r>
      <w:r>
        <w:rPr>
          <w:sz w:val="32"/>
          <w:szCs w:val="32"/>
          <w:highlight w:val="none"/>
        </w:rPr>
        <w:fldChar w:fldCharType="begin"/>
      </w:r>
      <w:r>
        <w:rPr>
          <w:sz w:val="32"/>
          <w:szCs w:val="32"/>
          <w:highlight w:val="none"/>
        </w:rPr>
        <w:instrText xml:space="preserve"> PAGEREF _Toc17418 \h </w:instrText>
      </w:r>
      <w:r>
        <w:rPr>
          <w:sz w:val="32"/>
          <w:szCs w:val="32"/>
          <w:highlight w:val="none"/>
        </w:rPr>
        <w:fldChar w:fldCharType="separate"/>
      </w:r>
      <w:r>
        <w:rPr>
          <w:sz w:val="32"/>
          <w:szCs w:val="32"/>
          <w:highlight w:val="none"/>
        </w:rPr>
        <w:t>11</w:t>
      </w:r>
      <w:r>
        <w:rPr>
          <w:sz w:val="32"/>
          <w:szCs w:val="32"/>
          <w:highlight w:val="none"/>
        </w:rPr>
        <w:fldChar w:fldCharType="end"/>
      </w:r>
      <w:r>
        <w:rPr>
          <w:sz w:val="32"/>
          <w:szCs w:val="32"/>
          <w:highlight w:val="none"/>
        </w:rPr>
        <w:fldChar w:fldCharType="end"/>
      </w:r>
    </w:p>
    <w:p>
      <w:pPr>
        <w:pStyle w:val="9"/>
        <w:tabs>
          <w:tab w:val="right" w:leader="dot" w:pos="8957"/>
        </w:tabs>
        <w:rPr>
          <w:sz w:val="32"/>
          <w:szCs w:val="32"/>
          <w:highlight w:val="none"/>
        </w:rPr>
      </w:pPr>
      <w:r>
        <w:rPr>
          <w:highlight w:val="none"/>
        </w:rPr>
        <w:fldChar w:fldCharType="begin"/>
      </w:r>
      <w:r>
        <w:rPr>
          <w:highlight w:val="none"/>
        </w:rPr>
        <w:instrText xml:space="preserve"> HYPERLINK \l "_Toc12888" </w:instrText>
      </w:r>
      <w:r>
        <w:rPr>
          <w:highlight w:val="none"/>
        </w:rPr>
        <w:fldChar w:fldCharType="separate"/>
      </w:r>
      <w:r>
        <w:rPr>
          <w:rFonts w:eastAsia="黑体"/>
          <w:sz w:val="32"/>
          <w:szCs w:val="32"/>
          <w:highlight w:val="none"/>
        </w:rPr>
        <w:t>三、发展重点</w:t>
      </w:r>
      <w:r>
        <w:rPr>
          <w:sz w:val="32"/>
          <w:szCs w:val="32"/>
          <w:highlight w:val="none"/>
        </w:rPr>
        <w:tab/>
      </w:r>
      <w:r>
        <w:rPr>
          <w:sz w:val="32"/>
          <w:szCs w:val="32"/>
          <w:highlight w:val="none"/>
        </w:rPr>
        <w:fldChar w:fldCharType="begin"/>
      </w:r>
      <w:r>
        <w:rPr>
          <w:sz w:val="32"/>
          <w:szCs w:val="32"/>
          <w:highlight w:val="none"/>
        </w:rPr>
        <w:instrText xml:space="preserve"> PAGEREF _Toc12888 \h </w:instrText>
      </w:r>
      <w:r>
        <w:rPr>
          <w:sz w:val="32"/>
          <w:szCs w:val="32"/>
          <w:highlight w:val="none"/>
        </w:rPr>
        <w:fldChar w:fldCharType="separate"/>
      </w:r>
      <w:r>
        <w:rPr>
          <w:sz w:val="32"/>
          <w:szCs w:val="32"/>
          <w:highlight w:val="none"/>
        </w:rPr>
        <w:t>13</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"_Toc14286" </w:instrText>
      </w:r>
      <w:r>
        <w:rPr>
          <w:highlight w:val="none"/>
        </w:rPr>
        <w:fldChar w:fldCharType="separate"/>
      </w:r>
      <w:r>
        <w:rPr>
          <w:rFonts w:eastAsia="楷体_GB2312"/>
          <w:bCs/>
          <w:kern w:val="0"/>
          <w:sz w:val="32"/>
          <w:szCs w:val="32"/>
          <w:highlight w:val="none"/>
        </w:rPr>
        <w:t>（一）主导产业</w:t>
      </w:r>
      <w:r>
        <w:rPr>
          <w:sz w:val="32"/>
          <w:szCs w:val="32"/>
          <w:highlight w:val="none"/>
        </w:rPr>
        <w:tab/>
      </w:r>
      <w:r>
        <w:rPr>
          <w:sz w:val="32"/>
          <w:szCs w:val="32"/>
          <w:highlight w:val="none"/>
        </w:rPr>
        <w:fldChar w:fldCharType="begin"/>
      </w:r>
      <w:r>
        <w:rPr>
          <w:sz w:val="32"/>
          <w:szCs w:val="32"/>
          <w:highlight w:val="none"/>
        </w:rPr>
        <w:instrText xml:space="preserve"> PAGEREF _Toc14286 \h </w:instrText>
      </w:r>
      <w:r>
        <w:rPr>
          <w:sz w:val="32"/>
          <w:szCs w:val="32"/>
          <w:highlight w:val="none"/>
        </w:rPr>
        <w:fldChar w:fldCharType="separate"/>
      </w:r>
      <w:r>
        <w:rPr>
          <w:sz w:val="32"/>
          <w:szCs w:val="32"/>
          <w:highlight w:val="none"/>
        </w:rPr>
        <w:t>14</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"_Toc13241" </w:instrText>
      </w:r>
      <w:r>
        <w:rPr>
          <w:highlight w:val="none"/>
        </w:rPr>
        <w:fldChar w:fldCharType="separate"/>
      </w:r>
      <w:r>
        <w:rPr>
          <w:rFonts w:eastAsia="楷体_GB2312"/>
          <w:bCs/>
          <w:kern w:val="0"/>
          <w:sz w:val="32"/>
          <w:szCs w:val="32"/>
          <w:highlight w:val="none"/>
        </w:rPr>
        <w:t>（二）新兴产业</w:t>
      </w:r>
      <w:r>
        <w:rPr>
          <w:sz w:val="32"/>
          <w:szCs w:val="32"/>
          <w:highlight w:val="none"/>
        </w:rPr>
        <w:tab/>
      </w:r>
      <w:r>
        <w:rPr>
          <w:sz w:val="32"/>
          <w:szCs w:val="32"/>
          <w:highlight w:val="none"/>
        </w:rPr>
        <w:fldChar w:fldCharType="begin"/>
      </w:r>
      <w:r>
        <w:rPr>
          <w:sz w:val="32"/>
          <w:szCs w:val="32"/>
          <w:highlight w:val="none"/>
        </w:rPr>
        <w:instrText xml:space="preserve"> PAGEREF _Toc13241 \h </w:instrText>
      </w:r>
      <w:r>
        <w:rPr>
          <w:sz w:val="32"/>
          <w:szCs w:val="32"/>
          <w:highlight w:val="none"/>
        </w:rPr>
        <w:fldChar w:fldCharType="separate"/>
      </w:r>
      <w:r>
        <w:rPr>
          <w:sz w:val="32"/>
          <w:szCs w:val="32"/>
          <w:highlight w:val="none"/>
        </w:rPr>
        <w:t>15</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"_Toc22093" </w:instrText>
      </w:r>
      <w:r>
        <w:rPr>
          <w:highlight w:val="none"/>
        </w:rPr>
        <w:fldChar w:fldCharType="separate"/>
      </w:r>
      <w:r>
        <w:rPr>
          <w:rFonts w:eastAsia="楷体_GB2312"/>
          <w:bCs/>
          <w:kern w:val="0"/>
          <w:sz w:val="32"/>
          <w:szCs w:val="32"/>
          <w:highlight w:val="none"/>
        </w:rPr>
        <w:t>（三）先导产业</w:t>
      </w:r>
      <w:r>
        <w:rPr>
          <w:sz w:val="32"/>
          <w:szCs w:val="32"/>
          <w:highlight w:val="none"/>
        </w:rPr>
        <w:tab/>
      </w:r>
      <w:r>
        <w:rPr>
          <w:sz w:val="32"/>
          <w:szCs w:val="32"/>
          <w:highlight w:val="none"/>
        </w:rPr>
        <w:fldChar w:fldCharType="begin"/>
      </w:r>
      <w:r>
        <w:rPr>
          <w:sz w:val="32"/>
          <w:szCs w:val="32"/>
          <w:highlight w:val="none"/>
        </w:rPr>
        <w:instrText xml:space="preserve"> PAGEREF _Toc22093 \h </w:instrText>
      </w:r>
      <w:r>
        <w:rPr>
          <w:sz w:val="32"/>
          <w:szCs w:val="32"/>
          <w:highlight w:val="none"/>
        </w:rPr>
        <w:fldChar w:fldCharType="separate"/>
      </w:r>
      <w:r>
        <w:rPr>
          <w:sz w:val="32"/>
          <w:szCs w:val="32"/>
          <w:highlight w:val="none"/>
        </w:rPr>
        <w:t>26</w:t>
      </w:r>
      <w:r>
        <w:rPr>
          <w:sz w:val="32"/>
          <w:szCs w:val="32"/>
          <w:highlight w:val="none"/>
        </w:rPr>
        <w:fldChar w:fldCharType="end"/>
      </w:r>
      <w:r>
        <w:rPr>
          <w:sz w:val="32"/>
          <w:szCs w:val="32"/>
          <w:highlight w:val="none"/>
        </w:rPr>
        <w:fldChar w:fldCharType="end"/>
      </w:r>
    </w:p>
    <w:p>
      <w:pPr>
        <w:pStyle w:val="9"/>
        <w:tabs>
          <w:tab w:val="right" w:leader="dot" w:pos="8957"/>
        </w:tabs>
        <w:rPr>
          <w:sz w:val="32"/>
          <w:szCs w:val="32"/>
          <w:highlight w:val="none"/>
        </w:rPr>
      </w:pPr>
      <w:r>
        <w:rPr>
          <w:highlight w:val="none"/>
        </w:rPr>
        <w:fldChar w:fldCharType="begin"/>
      </w:r>
      <w:r>
        <w:rPr>
          <w:highlight w:val="none"/>
        </w:rPr>
        <w:instrText xml:space="preserve"> HYPERLINK \l "_Toc32499" </w:instrText>
      </w:r>
      <w:r>
        <w:rPr>
          <w:highlight w:val="none"/>
        </w:rPr>
        <w:fldChar w:fldCharType="separate"/>
      </w:r>
      <w:r>
        <w:rPr>
          <w:rFonts w:eastAsia="黑体"/>
          <w:sz w:val="32"/>
          <w:szCs w:val="32"/>
          <w:highlight w:val="none"/>
        </w:rPr>
        <w:t>四、主要任务</w:t>
      </w:r>
      <w:r>
        <w:rPr>
          <w:sz w:val="32"/>
          <w:szCs w:val="32"/>
          <w:highlight w:val="none"/>
        </w:rPr>
        <w:tab/>
      </w:r>
      <w:r>
        <w:rPr>
          <w:sz w:val="32"/>
          <w:szCs w:val="32"/>
          <w:highlight w:val="none"/>
        </w:rPr>
        <w:fldChar w:fldCharType="begin"/>
      </w:r>
      <w:r>
        <w:rPr>
          <w:sz w:val="32"/>
          <w:szCs w:val="32"/>
          <w:highlight w:val="none"/>
        </w:rPr>
        <w:instrText xml:space="preserve"> PAGEREF _Toc32499 \h </w:instrText>
      </w:r>
      <w:r>
        <w:rPr>
          <w:sz w:val="32"/>
          <w:szCs w:val="32"/>
          <w:highlight w:val="none"/>
        </w:rPr>
        <w:fldChar w:fldCharType="separate"/>
      </w:r>
      <w:r>
        <w:rPr>
          <w:sz w:val="32"/>
          <w:szCs w:val="32"/>
          <w:highlight w:val="none"/>
        </w:rPr>
        <w:t>29</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"_Toc11134" </w:instrText>
      </w:r>
      <w:r>
        <w:rPr>
          <w:highlight w:val="none"/>
        </w:rPr>
        <w:fldChar w:fldCharType="separate"/>
      </w:r>
      <w:r>
        <w:rPr>
          <w:rFonts w:eastAsia="楷体_GB2312"/>
          <w:bCs/>
          <w:sz w:val="32"/>
          <w:szCs w:val="32"/>
          <w:highlight w:val="none"/>
        </w:rPr>
        <w:t>（一）构建现代产业体系，凝聚产业链新动能</w:t>
      </w:r>
      <w:r>
        <w:rPr>
          <w:sz w:val="32"/>
          <w:szCs w:val="32"/>
          <w:highlight w:val="none"/>
        </w:rPr>
        <w:tab/>
      </w:r>
      <w:r>
        <w:rPr>
          <w:sz w:val="32"/>
          <w:szCs w:val="32"/>
          <w:highlight w:val="none"/>
        </w:rPr>
        <w:fldChar w:fldCharType="begin"/>
      </w:r>
      <w:r>
        <w:rPr>
          <w:sz w:val="32"/>
          <w:szCs w:val="32"/>
          <w:highlight w:val="none"/>
        </w:rPr>
        <w:instrText xml:space="preserve"> PAGEREF _Toc11134 \h </w:instrText>
      </w:r>
      <w:r>
        <w:rPr>
          <w:sz w:val="32"/>
          <w:szCs w:val="32"/>
          <w:highlight w:val="none"/>
        </w:rPr>
        <w:fldChar w:fldCharType="separate"/>
      </w:r>
      <w:r>
        <w:rPr>
          <w:sz w:val="32"/>
          <w:szCs w:val="32"/>
          <w:highlight w:val="none"/>
        </w:rPr>
        <w:t>29</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"_Toc24858" </w:instrText>
      </w:r>
      <w:r>
        <w:rPr>
          <w:highlight w:val="none"/>
        </w:rPr>
        <w:fldChar w:fldCharType="separate"/>
      </w:r>
      <w:r>
        <w:rPr>
          <w:rFonts w:eastAsia="楷体_GB2312"/>
          <w:bCs/>
          <w:sz w:val="32"/>
          <w:szCs w:val="32"/>
          <w:highlight w:val="none"/>
        </w:rPr>
        <w:t>（二）聚集科创中心资源，增强自主创新能力</w:t>
      </w:r>
      <w:r>
        <w:rPr>
          <w:sz w:val="32"/>
          <w:szCs w:val="32"/>
          <w:highlight w:val="none"/>
        </w:rPr>
        <w:tab/>
      </w:r>
      <w:r>
        <w:rPr>
          <w:sz w:val="32"/>
          <w:szCs w:val="32"/>
          <w:highlight w:val="none"/>
        </w:rPr>
        <w:fldChar w:fldCharType="begin"/>
      </w:r>
      <w:r>
        <w:rPr>
          <w:sz w:val="32"/>
          <w:szCs w:val="32"/>
          <w:highlight w:val="none"/>
        </w:rPr>
        <w:instrText xml:space="preserve"> PAGEREF _Toc24858 \h </w:instrText>
      </w:r>
      <w:r>
        <w:rPr>
          <w:sz w:val="32"/>
          <w:szCs w:val="32"/>
          <w:highlight w:val="none"/>
        </w:rPr>
        <w:fldChar w:fldCharType="separate"/>
      </w:r>
      <w:r>
        <w:rPr>
          <w:sz w:val="32"/>
          <w:szCs w:val="32"/>
          <w:highlight w:val="none"/>
        </w:rPr>
        <w:t>31</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"_Toc17025" </w:instrText>
      </w:r>
      <w:r>
        <w:rPr>
          <w:highlight w:val="none"/>
        </w:rPr>
        <w:fldChar w:fldCharType="separate"/>
      </w:r>
      <w:r>
        <w:rPr>
          <w:rFonts w:eastAsia="楷体_GB2312"/>
          <w:bCs/>
          <w:sz w:val="32"/>
          <w:szCs w:val="32"/>
          <w:highlight w:val="none"/>
        </w:rPr>
        <w:t>（三）突出智能制造引领，深化产业数字转型</w:t>
      </w:r>
      <w:r>
        <w:rPr>
          <w:sz w:val="32"/>
          <w:szCs w:val="32"/>
          <w:highlight w:val="none"/>
        </w:rPr>
        <w:tab/>
      </w:r>
      <w:r>
        <w:rPr>
          <w:sz w:val="32"/>
          <w:szCs w:val="32"/>
          <w:highlight w:val="none"/>
        </w:rPr>
        <w:fldChar w:fldCharType="begin"/>
      </w:r>
      <w:r>
        <w:rPr>
          <w:sz w:val="32"/>
          <w:szCs w:val="32"/>
          <w:highlight w:val="none"/>
        </w:rPr>
        <w:instrText xml:space="preserve"> PAGEREF _Toc17025 \h </w:instrText>
      </w:r>
      <w:r>
        <w:rPr>
          <w:sz w:val="32"/>
          <w:szCs w:val="32"/>
          <w:highlight w:val="none"/>
        </w:rPr>
        <w:fldChar w:fldCharType="separate"/>
      </w:r>
      <w:r>
        <w:rPr>
          <w:sz w:val="32"/>
          <w:szCs w:val="32"/>
          <w:highlight w:val="none"/>
        </w:rPr>
        <w:t>32</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"_Toc15304" </w:instrText>
      </w:r>
      <w:r>
        <w:rPr>
          <w:highlight w:val="none"/>
        </w:rPr>
        <w:fldChar w:fldCharType="separate"/>
      </w:r>
      <w:r>
        <w:rPr>
          <w:rFonts w:eastAsia="楷体_GB2312"/>
          <w:bCs/>
          <w:sz w:val="32"/>
          <w:szCs w:val="32"/>
          <w:highlight w:val="none"/>
        </w:rPr>
        <w:t>（四）强化重大项目支撑，扩大有效投资规模</w:t>
      </w:r>
      <w:r>
        <w:rPr>
          <w:sz w:val="32"/>
          <w:szCs w:val="32"/>
          <w:highlight w:val="none"/>
        </w:rPr>
        <w:tab/>
      </w:r>
      <w:r>
        <w:rPr>
          <w:sz w:val="32"/>
          <w:szCs w:val="32"/>
          <w:highlight w:val="none"/>
        </w:rPr>
        <w:fldChar w:fldCharType="begin"/>
      </w:r>
      <w:r>
        <w:rPr>
          <w:sz w:val="32"/>
          <w:szCs w:val="32"/>
          <w:highlight w:val="none"/>
        </w:rPr>
        <w:instrText xml:space="preserve"> PAGEREF _Toc15304 \h </w:instrText>
      </w:r>
      <w:r>
        <w:rPr>
          <w:sz w:val="32"/>
          <w:szCs w:val="32"/>
          <w:highlight w:val="none"/>
        </w:rPr>
        <w:fldChar w:fldCharType="separate"/>
      </w:r>
      <w:r>
        <w:rPr>
          <w:sz w:val="32"/>
          <w:szCs w:val="32"/>
          <w:highlight w:val="none"/>
        </w:rPr>
        <w:t>34</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"_Toc19177" </w:instrText>
      </w:r>
      <w:r>
        <w:rPr>
          <w:highlight w:val="none"/>
        </w:rPr>
        <w:fldChar w:fldCharType="separate"/>
      </w:r>
      <w:r>
        <w:rPr>
          <w:rFonts w:eastAsia="楷体_GB2312"/>
          <w:bCs/>
          <w:sz w:val="32"/>
          <w:szCs w:val="32"/>
          <w:highlight w:val="none"/>
        </w:rPr>
        <w:t>（五）培育优质企业梯队，夯实昆山制造实力</w:t>
      </w:r>
      <w:r>
        <w:rPr>
          <w:sz w:val="32"/>
          <w:szCs w:val="32"/>
          <w:highlight w:val="none"/>
        </w:rPr>
        <w:tab/>
      </w:r>
      <w:r>
        <w:rPr>
          <w:sz w:val="32"/>
          <w:szCs w:val="32"/>
          <w:highlight w:val="none"/>
        </w:rPr>
        <w:fldChar w:fldCharType="begin"/>
      </w:r>
      <w:r>
        <w:rPr>
          <w:sz w:val="32"/>
          <w:szCs w:val="32"/>
          <w:highlight w:val="none"/>
        </w:rPr>
        <w:instrText xml:space="preserve"> PAGEREF _Toc19177 \h </w:instrText>
      </w:r>
      <w:r>
        <w:rPr>
          <w:sz w:val="32"/>
          <w:szCs w:val="32"/>
          <w:highlight w:val="none"/>
        </w:rPr>
        <w:fldChar w:fldCharType="separate"/>
      </w:r>
      <w:r>
        <w:rPr>
          <w:sz w:val="32"/>
          <w:szCs w:val="32"/>
          <w:highlight w:val="none"/>
        </w:rPr>
        <w:t>35</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"_Toc29270" </w:instrText>
      </w:r>
      <w:r>
        <w:rPr>
          <w:highlight w:val="none"/>
        </w:rPr>
        <w:fldChar w:fldCharType="separate"/>
      </w:r>
      <w:r>
        <w:rPr>
          <w:rFonts w:eastAsia="楷体_GB2312"/>
          <w:bCs/>
          <w:sz w:val="32"/>
          <w:szCs w:val="32"/>
          <w:highlight w:val="none"/>
        </w:rPr>
        <w:t>（六）坚决落实能耗双控，筑牢绿色安全底线</w:t>
      </w:r>
      <w:r>
        <w:rPr>
          <w:sz w:val="32"/>
          <w:szCs w:val="32"/>
          <w:highlight w:val="none"/>
        </w:rPr>
        <w:tab/>
      </w:r>
      <w:r>
        <w:rPr>
          <w:sz w:val="32"/>
          <w:szCs w:val="32"/>
          <w:highlight w:val="none"/>
        </w:rPr>
        <w:fldChar w:fldCharType="begin"/>
      </w:r>
      <w:r>
        <w:rPr>
          <w:sz w:val="32"/>
          <w:szCs w:val="32"/>
          <w:highlight w:val="none"/>
        </w:rPr>
        <w:instrText xml:space="preserve"> PAGEREF _Toc29270 \h </w:instrText>
      </w:r>
      <w:r>
        <w:rPr>
          <w:sz w:val="32"/>
          <w:szCs w:val="32"/>
          <w:highlight w:val="none"/>
        </w:rPr>
        <w:fldChar w:fldCharType="separate"/>
      </w:r>
      <w:r>
        <w:rPr>
          <w:sz w:val="32"/>
          <w:szCs w:val="32"/>
          <w:highlight w:val="none"/>
        </w:rPr>
        <w:t>36</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"_Toc27793" </w:instrText>
      </w:r>
      <w:r>
        <w:rPr>
          <w:highlight w:val="none"/>
        </w:rPr>
        <w:fldChar w:fldCharType="separate"/>
      </w:r>
      <w:r>
        <w:rPr>
          <w:rFonts w:eastAsia="楷体_GB2312"/>
          <w:bCs/>
          <w:sz w:val="32"/>
          <w:szCs w:val="32"/>
          <w:highlight w:val="none"/>
        </w:rPr>
        <w:t>（七）融入双循环新格局，提高开放合作水平</w:t>
      </w:r>
      <w:r>
        <w:rPr>
          <w:sz w:val="32"/>
          <w:szCs w:val="32"/>
          <w:highlight w:val="none"/>
        </w:rPr>
        <w:tab/>
      </w:r>
      <w:r>
        <w:rPr>
          <w:sz w:val="32"/>
          <w:szCs w:val="32"/>
          <w:highlight w:val="none"/>
        </w:rPr>
        <w:fldChar w:fldCharType="begin"/>
      </w:r>
      <w:r>
        <w:rPr>
          <w:sz w:val="32"/>
          <w:szCs w:val="32"/>
          <w:highlight w:val="none"/>
        </w:rPr>
        <w:instrText xml:space="preserve"> PAGEREF _Toc27793 \h </w:instrText>
      </w:r>
      <w:r>
        <w:rPr>
          <w:sz w:val="32"/>
          <w:szCs w:val="32"/>
          <w:highlight w:val="none"/>
        </w:rPr>
        <w:fldChar w:fldCharType="separate"/>
      </w:r>
      <w:r>
        <w:rPr>
          <w:sz w:val="32"/>
          <w:szCs w:val="32"/>
          <w:highlight w:val="none"/>
        </w:rPr>
        <w:t>37</w:t>
      </w:r>
      <w:r>
        <w:rPr>
          <w:sz w:val="32"/>
          <w:szCs w:val="32"/>
          <w:highlight w:val="none"/>
        </w:rPr>
        <w:fldChar w:fldCharType="end"/>
      </w:r>
      <w:r>
        <w:rPr>
          <w:sz w:val="32"/>
          <w:szCs w:val="32"/>
          <w:highlight w:val="none"/>
        </w:rPr>
        <w:fldChar w:fldCharType="end"/>
      </w:r>
    </w:p>
    <w:p>
      <w:pPr>
        <w:pStyle w:val="9"/>
        <w:tabs>
          <w:tab w:val="right" w:leader="dot" w:pos="8957"/>
        </w:tabs>
        <w:rPr>
          <w:sz w:val="32"/>
          <w:szCs w:val="32"/>
          <w:highlight w:val="none"/>
        </w:rPr>
      </w:pPr>
      <w:r>
        <w:rPr>
          <w:highlight w:val="none"/>
        </w:rPr>
        <w:fldChar w:fldCharType="begin"/>
      </w:r>
      <w:r>
        <w:rPr>
          <w:highlight w:val="none"/>
        </w:rPr>
        <w:instrText xml:space="preserve"> HYPERLINK \l "_Toc8071" </w:instrText>
      </w:r>
      <w:r>
        <w:rPr>
          <w:highlight w:val="none"/>
        </w:rPr>
        <w:fldChar w:fldCharType="separate"/>
      </w:r>
      <w:r>
        <w:rPr>
          <w:rFonts w:eastAsia="黑体"/>
          <w:sz w:val="32"/>
          <w:szCs w:val="32"/>
          <w:highlight w:val="none"/>
        </w:rPr>
        <w:t>五、保障措施</w:t>
      </w:r>
      <w:r>
        <w:rPr>
          <w:sz w:val="32"/>
          <w:szCs w:val="32"/>
          <w:highlight w:val="none"/>
        </w:rPr>
        <w:tab/>
      </w:r>
      <w:r>
        <w:rPr>
          <w:sz w:val="32"/>
          <w:szCs w:val="32"/>
          <w:highlight w:val="none"/>
        </w:rPr>
        <w:fldChar w:fldCharType="begin"/>
      </w:r>
      <w:r>
        <w:rPr>
          <w:sz w:val="32"/>
          <w:szCs w:val="32"/>
          <w:highlight w:val="none"/>
        </w:rPr>
        <w:instrText xml:space="preserve"> PAGEREF _Toc8071 \h </w:instrText>
      </w:r>
      <w:r>
        <w:rPr>
          <w:sz w:val="32"/>
          <w:szCs w:val="32"/>
          <w:highlight w:val="none"/>
        </w:rPr>
        <w:fldChar w:fldCharType="separate"/>
      </w:r>
      <w:r>
        <w:rPr>
          <w:sz w:val="32"/>
          <w:szCs w:val="32"/>
          <w:highlight w:val="none"/>
        </w:rPr>
        <w:t>39</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"_Toc2082" </w:instrText>
      </w:r>
      <w:r>
        <w:rPr>
          <w:highlight w:val="none"/>
        </w:rPr>
        <w:fldChar w:fldCharType="separate"/>
      </w:r>
      <w:r>
        <w:rPr>
          <w:rFonts w:eastAsia="楷体_GB2312"/>
          <w:bCs/>
          <w:sz w:val="32"/>
          <w:szCs w:val="32"/>
          <w:highlight w:val="none"/>
        </w:rPr>
        <w:t>（一）加强规划组织领导</w:t>
      </w:r>
      <w:r>
        <w:rPr>
          <w:sz w:val="32"/>
          <w:szCs w:val="32"/>
          <w:highlight w:val="none"/>
        </w:rPr>
        <w:tab/>
      </w:r>
      <w:r>
        <w:rPr>
          <w:sz w:val="32"/>
          <w:szCs w:val="32"/>
          <w:highlight w:val="none"/>
        </w:rPr>
        <w:fldChar w:fldCharType="begin"/>
      </w:r>
      <w:r>
        <w:rPr>
          <w:sz w:val="32"/>
          <w:szCs w:val="32"/>
          <w:highlight w:val="none"/>
        </w:rPr>
        <w:instrText xml:space="preserve"> PAGEREF _Toc2082 \h </w:instrText>
      </w:r>
      <w:r>
        <w:rPr>
          <w:sz w:val="32"/>
          <w:szCs w:val="32"/>
          <w:highlight w:val="none"/>
        </w:rPr>
        <w:fldChar w:fldCharType="separate"/>
      </w:r>
      <w:r>
        <w:rPr>
          <w:sz w:val="32"/>
          <w:szCs w:val="32"/>
          <w:highlight w:val="none"/>
        </w:rPr>
        <w:t>39</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"_Toc22158" </w:instrText>
      </w:r>
      <w:r>
        <w:rPr>
          <w:highlight w:val="none"/>
        </w:rPr>
        <w:fldChar w:fldCharType="separate"/>
      </w:r>
      <w:r>
        <w:rPr>
          <w:rFonts w:eastAsia="楷体_GB2312"/>
          <w:bCs/>
          <w:sz w:val="32"/>
          <w:szCs w:val="32"/>
          <w:highlight w:val="none"/>
        </w:rPr>
        <w:t>（二）强化政策精准支持</w:t>
      </w:r>
      <w:r>
        <w:rPr>
          <w:sz w:val="32"/>
          <w:szCs w:val="32"/>
          <w:highlight w:val="none"/>
        </w:rPr>
        <w:tab/>
      </w:r>
      <w:r>
        <w:rPr>
          <w:sz w:val="32"/>
          <w:szCs w:val="32"/>
          <w:highlight w:val="none"/>
        </w:rPr>
        <w:fldChar w:fldCharType="begin"/>
      </w:r>
      <w:r>
        <w:rPr>
          <w:sz w:val="32"/>
          <w:szCs w:val="32"/>
          <w:highlight w:val="none"/>
        </w:rPr>
        <w:instrText xml:space="preserve"> PAGEREF _Toc22158 \h </w:instrText>
      </w:r>
      <w:r>
        <w:rPr>
          <w:sz w:val="32"/>
          <w:szCs w:val="32"/>
          <w:highlight w:val="none"/>
        </w:rPr>
        <w:fldChar w:fldCharType="separate"/>
      </w:r>
      <w:r>
        <w:rPr>
          <w:sz w:val="32"/>
          <w:szCs w:val="32"/>
          <w:highlight w:val="none"/>
        </w:rPr>
        <w:t>39</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"_Toc27776" </w:instrText>
      </w:r>
      <w:r>
        <w:rPr>
          <w:highlight w:val="none"/>
        </w:rPr>
        <w:fldChar w:fldCharType="separate"/>
      </w:r>
      <w:r>
        <w:rPr>
          <w:rFonts w:eastAsia="楷体_GB2312"/>
          <w:bCs/>
          <w:sz w:val="32"/>
          <w:szCs w:val="32"/>
          <w:highlight w:val="none"/>
        </w:rPr>
        <w:t>（三）加大人才引培力度</w:t>
      </w:r>
      <w:r>
        <w:rPr>
          <w:sz w:val="32"/>
          <w:szCs w:val="32"/>
          <w:highlight w:val="none"/>
        </w:rPr>
        <w:tab/>
      </w:r>
      <w:r>
        <w:rPr>
          <w:sz w:val="32"/>
          <w:szCs w:val="32"/>
          <w:highlight w:val="none"/>
        </w:rPr>
        <w:fldChar w:fldCharType="begin"/>
      </w:r>
      <w:r>
        <w:rPr>
          <w:sz w:val="32"/>
          <w:szCs w:val="32"/>
          <w:highlight w:val="none"/>
        </w:rPr>
        <w:instrText xml:space="preserve"> PAGEREF _Toc27776 \h </w:instrText>
      </w:r>
      <w:r>
        <w:rPr>
          <w:sz w:val="32"/>
          <w:szCs w:val="32"/>
          <w:highlight w:val="none"/>
        </w:rPr>
        <w:fldChar w:fldCharType="separate"/>
      </w:r>
      <w:r>
        <w:rPr>
          <w:sz w:val="32"/>
          <w:szCs w:val="32"/>
          <w:highlight w:val="none"/>
        </w:rPr>
        <w:t>40</w:t>
      </w:r>
      <w:r>
        <w:rPr>
          <w:sz w:val="32"/>
          <w:szCs w:val="32"/>
          <w:highlight w:val="none"/>
        </w:rPr>
        <w:fldChar w:fldCharType="end"/>
      </w:r>
      <w:r>
        <w:rPr>
          <w:sz w:val="32"/>
          <w:szCs w:val="32"/>
          <w:highlight w:val="none"/>
        </w:rPr>
        <w:fldChar w:fldCharType="end"/>
      </w:r>
    </w:p>
    <w:p>
      <w:pPr>
        <w:pStyle w:val="10"/>
        <w:tabs>
          <w:tab w:val="right" w:leader="dot" w:pos="8957"/>
        </w:tabs>
        <w:rPr>
          <w:sz w:val="32"/>
          <w:szCs w:val="32"/>
          <w:highlight w:val="none"/>
        </w:rPr>
      </w:pPr>
      <w:r>
        <w:rPr>
          <w:highlight w:val="none"/>
        </w:rPr>
        <w:fldChar w:fldCharType="begin"/>
      </w:r>
      <w:r>
        <w:rPr>
          <w:highlight w:val="none"/>
        </w:rPr>
        <w:instrText xml:space="preserve"> HYPERLINK \l "_Toc6455" </w:instrText>
      </w:r>
      <w:r>
        <w:rPr>
          <w:highlight w:val="none"/>
        </w:rPr>
        <w:fldChar w:fldCharType="separate"/>
      </w:r>
      <w:r>
        <w:rPr>
          <w:rFonts w:eastAsia="楷体_GB2312"/>
          <w:bCs/>
          <w:sz w:val="32"/>
          <w:szCs w:val="32"/>
          <w:highlight w:val="none"/>
        </w:rPr>
        <w:t>（四）保障产业用地供给</w:t>
      </w:r>
      <w:r>
        <w:rPr>
          <w:sz w:val="32"/>
          <w:szCs w:val="32"/>
          <w:highlight w:val="none"/>
        </w:rPr>
        <w:tab/>
      </w:r>
      <w:r>
        <w:rPr>
          <w:sz w:val="32"/>
          <w:szCs w:val="32"/>
          <w:highlight w:val="none"/>
        </w:rPr>
        <w:fldChar w:fldCharType="begin"/>
      </w:r>
      <w:r>
        <w:rPr>
          <w:sz w:val="32"/>
          <w:szCs w:val="32"/>
          <w:highlight w:val="none"/>
        </w:rPr>
        <w:instrText xml:space="preserve"> PAGEREF _Toc6455 \h </w:instrText>
      </w:r>
      <w:r>
        <w:rPr>
          <w:sz w:val="32"/>
          <w:szCs w:val="32"/>
          <w:highlight w:val="none"/>
        </w:rPr>
        <w:fldChar w:fldCharType="separate"/>
      </w:r>
      <w:r>
        <w:rPr>
          <w:sz w:val="32"/>
          <w:szCs w:val="32"/>
          <w:highlight w:val="none"/>
        </w:rPr>
        <w:t>40</w:t>
      </w:r>
      <w:r>
        <w:rPr>
          <w:sz w:val="32"/>
          <w:szCs w:val="32"/>
          <w:highlight w:val="none"/>
        </w:rPr>
        <w:fldChar w:fldCharType="end"/>
      </w:r>
      <w:r>
        <w:rPr>
          <w:sz w:val="32"/>
          <w:szCs w:val="32"/>
          <w:highlight w:val="none"/>
        </w:rPr>
        <w:fldChar w:fldCharType="end"/>
      </w:r>
    </w:p>
    <w:p>
      <w:pPr>
        <w:pStyle w:val="10"/>
        <w:tabs>
          <w:tab w:val="right" w:leader="dot" w:pos="8957"/>
        </w:tabs>
        <w:rPr>
          <w:highlight w:val="none"/>
        </w:rPr>
      </w:pPr>
      <w:r>
        <w:rPr>
          <w:highlight w:val="none"/>
        </w:rPr>
        <w:fldChar w:fldCharType="begin"/>
      </w:r>
      <w:r>
        <w:rPr>
          <w:highlight w:val="none"/>
        </w:rPr>
        <w:instrText xml:space="preserve"> HYPERLINK \l "_Toc12511" </w:instrText>
      </w:r>
      <w:r>
        <w:rPr>
          <w:highlight w:val="none"/>
        </w:rPr>
        <w:fldChar w:fldCharType="separate"/>
      </w:r>
      <w:r>
        <w:rPr>
          <w:rFonts w:eastAsia="楷体_GB2312"/>
          <w:bCs/>
          <w:sz w:val="32"/>
          <w:szCs w:val="32"/>
          <w:highlight w:val="none"/>
        </w:rPr>
        <w:t>（五）打造一流营商环境</w:t>
      </w:r>
      <w:r>
        <w:rPr>
          <w:sz w:val="32"/>
          <w:szCs w:val="32"/>
          <w:highlight w:val="none"/>
        </w:rPr>
        <w:tab/>
      </w:r>
      <w:r>
        <w:rPr>
          <w:sz w:val="32"/>
          <w:szCs w:val="32"/>
          <w:highlight w:val="none"/>
        </w:rPr>
        <w:fldChar w:fldCharType="begin"/>
      </w:r>
      <w:r>
        <w:rPr>
          <w:sz w:val="32"/>
          <w:szCs w:val="32"/>
          <w:highlight w:val="none"/>
        </w:rPr>
        <w:instrText xml:space="preserve"> PAGEREF _Toc12511 \h </w:instrText>
      </w:r>
      <w:r>
        <w:rPr>
          <w:sz w:val="32"/>
          <w:szCs w:val="32"/>
          <w:highlight w:val="none"/>
        </w:rPr>
        <w:fldChar w:fldCharType="separate"/>
      </w:r>
      <w:r>
        <w:rPr>
          <w:sz w:val="32"/>
          <w:szCs w:val="32"/>
          <w:highlight w:val="none"/>
        </w:rPr>
        <w:t>41</w:t>
      </w:r>
      <w:r>
        <w:rPr>
          <w:sz w:val="32"/>
          <w:szCs w:val="32"/>
          <w:highlight w:val="none"/>
        </w:rPr>
        <w:fldChar w:fldCharType="end"/>
      </w:r>
      <w:r>
        <w:rPr>
          <w:sz w:val="32"/>
          <w:szCs w:val="32"/>
          <w:highlight w:val="none"/>
        </w:rPr>
        <w:fldChar w:fldCharType="end"/>
      </w:r>
    </w:p>
    <w:p>
      <w:pPr>
        <w:pStyle w:val="9"/>
        <w:tabs>
          <w:tab w:val="right" w:leader="dot" w:pos="8957"/>
        </w:tabs>
        <w:rPr>
          <w:rFonts w:eastAsia="方正黑体_GBK"/>
          <w:sz w:val="32"/>
          <w:szCs w:val="32"/>
          <w:highlight w:val="none"/>
        </w:rPr>
        <w:sectPr>
          <w:footerReference r:id="rId8" w:type="default"/>
          <w:pgSz w:w="11906" w:h="16838"/>
          <w:pgMar w:top="2098" w:right="1361" w:bottom="1417" w:left="1588" w:header="680" w:footer="1247" w:gutter="0"/>
          <w:pgNumType w:start="1"/>
          <w:cols w:space="720" w:num="1"/>
          <w:docGrid w:type="lines" w:linePitch="312" w:charSpace="0"/>
        </w:sectPr>
      </w:pPr>
      <w:r>
        <w:rPr>
          <w:rFonts w:eastAsia="楷体_GB2312"/>
          <w:szCs w:val="32"/>
          <w:highlight w:val="none"/>
        </w:rPr>
        <w:fldChar w:fldCharType="end"/>
      </w:r>
    </w:p>
    <w:p>
      <w:pPr>
        <w:pStyle w:val="4"/>
        <w:spacing w:line="560" w:lineRule="exact"/>
        <w:ind w:firstLine="640" w:firstLineChars="200"/>
        <w:jc w:val="center"/>
        <w:rPr>
          <w:rFonts w:eastAsia="方正黑体_GBK"/>
          <w:sz w:val="32"/>
          <w:szCs w:val="32"/>
          <w:highlight w:val="none"/>
        </w:rPr>
      </w:pPr>
      <w:bookmarkStart w:id="3" w:name="_Toc6068"/>
      <w:bookmarkStart w:id="4" w:name="_Toc6771"/>
      <w:bookmarkStart w:id="5" w:name="_Toc18268"/>
      <w:bookmarkStart w:id="6" w:name="_Toc56776821"/>
    </w:p>
    <w:p>
      <w:pPr>
        <w:pStyle w:val="4"/>
        <w:spacing w:line="560" w:lineRule="exact"/>
        <w:jc w:val="center"/>
        <w:outlineLvl w:val="0"/>
        <w:rPr>
          <w:rFonts w:eastAsia="方正黑体_GBK"/>
          <w:sz w:val="44"/>
          <w:szCs w:val="44"/>
          <w:highlight w:val="none"/>
        </w:rPr>
      </w:pPr>
      <w:bookmarkStart w:id="7" w:name="_Toc3289"/>
      <w:bookmarkStart w:id="8" w:name="_Toc6551"/>
      <w:bookmarkStart w:id="9" w:name="_Toc4765"/>
      <w:bookmarkStart w:id="10" w:name="_Toc88424319"/>
      <w:bookmarkStart w:id="11" w:name="_Toc13808"/>
      <w:bookmarkStart w:id="12" w:name="_Toc31967"/>
      <w:r>
        <w:rPr>
          <w:rFonts w:eastAsia="方正黑体_GBK"/>
          <w:sz w:val="44"/>
          <w:szCs w:val="44"/>
          <w:highlight w:val="none"/>
        </w:rPr>
        <w:t>前    言</w:t>
      </w:r>
      <w:bookmarkEnd w:id="7"/>
      <w:bookmarkEnd w:id="8"/>
      <w:bookmarkEnd w:id="9"/>
      <w:bookmarkEnd w:id="10"/>
      <w:bookmarkEnd w:id="11"/>
      <w:bookmarkEnd w:id="12"/>
    </w:p>
    <w:p>
      <w:pPr>
        <w:pStyle w:val="5"/>
        <w:rPr>
          <w:highlight w:val="none"/>
        </w:rPr>
      </w:pPr>
    </w:p>
    <w:p>
      <w:pPr>
        <w:pStyle w:val="6"/>
        <w:ind w:firstLine="640"/>
        <w:rPr>
          <w:rFonts w:cs="Times New Roman"/>
          <w:highlight w:val="none"/>
        </w:rPr>
      </w:pPr>
    </w:p>
    <w:p>
      <w:pPr>
        <w:pStyle w:val="4"/>
        <w:spacing w:line="600" w:lineRule="exact"/>
        <w:ind w:firstLine="640" w:firstLineChars="200"/>
        <w:rPr>
          <w:rFonts w:eastAsia="仿宋_GB2312"/>
          <w:sz w:val="32"/>
          <w:szCs w:val="32"/>
          <w:highlight w:val="none"/>
        </w:rPr>
      </w:pPr>
      <w:r>
        <w:rPr>
          <w:rFonts w:eastAsia="仿宋_GB2312"/>
          <w:sz w:val="32"/>
          <w:szCs w:val="32"/>
          <w:highlight w:val="none"/>
        </w:rPr>
        <w:t>“十四五”时期是我国开启全面建设社会主义现代化国家新征程、向第二个百年奋斗目标进军的第一个五年，是昆山贯彻落实习近平新时代中国特色社会主义思想和深入践行“争当表率、争做示范、走在前列”重大使命的重要阶段，是昆山打造国家一流产业科创中心的战略机遇期，是昆山构建高水平创新集群、加快新旧动能转换、推动制造业高质量发展的关键五年。</w:t>
      </w:r>
    </w:p>
    <w:p>
      <w:pPr>
        <w:pStyle w:val="4"/>
        <w:spacing w:line="600" w:lineRule="exact"/>
        <w:ind w:firstLine="640" w:firstLineChars="200"/>
        <w:rPr>
          <w:rFonts w:eastAsia="仿宋_GB2312"/>
          <w:sz w:val="32"/>
          <w:szCs w:val="32"/>
          <w:highlight w:val="none"/>
        </w:rPr>
      </w:pPr>
      <w:r>
        <w:rPr>
          <w:rFonts w:eastAsia="仿宋_GB2312"/>
          <w:sz w:val="32"/>
          <w:szCs w:val="32"/>
          <w:highlight w:val="none"/>
        </w:rPr>
        <w:t>根据国家、江苏省、苏州市对制造业高质量发展的部署要求及《昆山市国民经济和社会发展第十四个五年规划和二</w:t>
      </w:r>
      <w:r>
        <w:rPr>
          <w:rFonts w:hint="eastAsia" w:ascii="微软雅黑" w:hAnsi="微软雅黑" w:eastAsia="微软雅黑" w:cs="微软雅黑"/>
          <w:sz w:val="32"/>
          <w:szCs w:val="32"/>
          <w:highlight w:val="none"/>
        </w:rPr>
        <w:t>〇</w:t>
      </w:r>
      <w:r>
        <w:rPr>
          <w:rFonts w:hint="eastAsia" w:ascii="仿宋_GB2312" w:hAnsi="仿宋_GB2312" w:eastAsia="仿宋_GB2312" w:cs="仿宋_GB2312"/>
          <w:sz w:val="32"/>
          <w:szCs w:val="32"/>
          <w:highlight w:val="none"/>
        </w:rPr>
        <w:t>三五年远景目标纲要》等相关文件精神，结合昆山发展实际，编制《昆山市制造业发展</w:t>
      </w:r>
      <w:r>
        <w:rPr>
          <w:rFonts w:eastAsia="仿宋_GB2312"/>
          <w:sz w:val="32"/>
          <w:szCs w:val="32"/>
          <w:highlight w:val="none"/>
        </w:rPr>
        <w:t>“十四五”规划》。本规划为推动昆山加快制造业高质量发展提供方向指引，主要阐明昆山制造业发展思路、发展重点、主要任务和保障措施，规划期为2021—2025年。</w:t>
      </w:r>
    </w:p>
    <w:p>
      <w:pPr>
        <w:pStyle w:val="4"/>
        <w:spacing w:line="600" w:lineRule="exact"/>
        <w:ind w:firstLine="640" w:firstLineChars="200"/>
        <w:rPr>
          <w:rFonts w:eastAsia="黑体"/>
          <w:sz w:val="32"/>
          <w:szCs w:val="32"/>
          <w:highlight w:val="none"/>
        </w:rPr>
      </w:pPr>
      <w:bookmarkStart w:id="13" w:name="_Toc8689"/>
      <w:bookmarkStart w:id="14" w:name="_Toc21462"/>
      <w:bookmarkStart w:id="15" w:name="_Toc32152"/>
      <w:bookmarkStart w:id="16" w:name="_Toc23508"/>
      <w:bookmarkStart w:id="17" w:name="_Toc21784"/>
    </w:p>
    <w:p>
      <w:pPr>
        <w:pStyle w:val="4"/>
        <w:spacing w:line="600" w:lineRule="exact"/>
        <w:ind w:firstLine="640" w:firstLineChars="200"/>
        <w:rPr>
          <w:rFonts w:eastAsia="黑体"/>
          <w:sz w:val="32"/>
          <w:szCs w:val="32"/>
          <w:highlight w:val="none"/>
        </w:rPr>
      </w:pPr>
    </w:p>
    <w:p>
      <w:pPr>
        <w:pStyle w:val="4"/>
        <w:spacing w:line="600" w:lineRule="exact"/>
        <w:ind w:firstLine="640" w:firstLineChars="200"/>
        <w:rPr>
          <w:rFonts w:eastAsia="黑体"/>
          <w:sz w:val="32"/>
          <w:szCs w:val="32"/>
          <w:highlight w:val="none"/>
        </w:rPr>
      </w:pPr>
    </w:p>
    <w:p>
      <w:pPr>
        <w:pStyle w:val="5"/>
        <w:rPr>
          <w:rFonts w:eastAsia="黑体"/>
          <w:sz w:val="32"/>
          <w:szCs w:val="32"/>
          <w:highlight w:val="none"/>
        </w:rPr>
      </w:pPr>
    </w:p>
    <w:p>
      <w:pPr>
        <w:pStyle w:val="6"/>
        <w:ind w:firstLine="640"/>
        <w:rPr>
          <w:rFonts w:cs="Times New Roman"/>
          <w:highlight w:val="none"/>
        </w:rPr>
      </w:pPr>
    </w:p>
    <w:p>
      <w:pPr>
        <w:pStyle w:val="4"/>
        <w:spacing w:line="600" w:lineRule="exact"/>
        <w:ind w:firstLine="640" w:firstLineChars="200"/>
        <w:rPr>
          <w:rFonts w:eastAsia="黑体"/>
          <w:sz w:val="32"/>
          <w:szCs w:val="32"/>
          <w:highlight w:val="none"/>
        </w:rPr>
      </w:pPr>
    </w:p>
    <w:p>
      <w:pPr>
        <w:pStyle w:val="5"/>
        <w:rPr>
          <w:rFonts w:eastAsia="黑体"/>
          <w:sz w:val="32"/>
          <w:szCs w:val="32"/>
          <w:highlight w:val="none"/>
        </w:rPr>
      </w:pPr>
    </w:p>
    <w:p>
      <w:pPr>
        <w:pStyle w:val="4"/>
        <w:spacing w:line="600" w:lineRule="exact"/>
        <w:ind w:firstLine="640" w:firstLineChars="200"/>
        <w:outlineLvl w:val="0"/>
        <w:rPr>
          <w:rFonts w:eastAsia="黑体"/>
          <w:sz w:val="32"/>
          <w:szCs w:val="32"/>
          <w:highlight w:val="none"/>
        </w:rPr>
      </w:pPr>
      <w:bookmarkStart w:id="18" w:name="_Toc18792"/>
      <w:bookmarkStart w:id="19" w:name="_Toc10783"/>
      <w:bookmarkStart w:id="20" w:name="_Toc3810"/>
      <w:bookmarkStart w:id="21" w:name="_Toc84829648"/>
      <w:bookmarkStart w:id="22" w:name="_Toc24708"/>
      <w:bookmarkStart w:id="23" w:name="_Toc2097"/>
      <w:bookmarkStart w:id="24" w:name="_Toc22117"/>
      <w:bookmarkStart w:id="25" w:name="_Toc23020"/>
      <w:bookmarkStart w:id="26" w:name="_Toc81518438"/>
      <w:bookmarkStart w:id="27" w:name="_Toc11296"/>
      <w:bookmarkStart w:id="28" w:name="_Toc78802153"/>
      <w:bookmarkStart w:id="29" w:name="_Toc27078"/>
      <w:bookmarkStart w:id="30" w:name="_Toc10212"/>
      <w:bookmarkStart w:id="31" w:name="_Toc88424320"/>
      <w:bookmarkStart w:id="32" w:name="_Toc22250"/>
      <w:bookmarkStart w:id="33" w:name="_Toc10134"/>
      <w:bookmarkStart w:id="34" w:name="_Toc6160"/>
      <w:bookmarkStart w:id="35" w:name="_Toc5209"/>
      <w:r>
        <w:rPr>
          <w:rFonts w:eastAsia="黑体"/>
          <w:sz w:val="32"/>
          <w:szCs w:val="32"/>
          <w:highlight w:val="none"/>
        </w:rPr>
        <w:t>一、</w:t>
      </w:r>
      <w:bookmarkEnd w:id="3"/>
      <w:bookmarkEnd w:id="4"/>
      <w:bookmarkEnd w:id="5"/>
      <w:bookmarkEnd w:id="6"/>
      <w:bookmarkEnd w:id="13"/>
      <w:bookmarkEnd w:id="14"/>
      <w:bookmarkEnd w:id="15"/>
      <w:bookmarkEnd w:id="16"/>
      <w:bookmarkEnd w:id="17"/>
      <w:r>
        <w:rPr>
          <w:rFonts w:eastAsia="黑体"/>
          <w:sz w:val="32"/>
          <w:szCs w:val="32"/>
          <w:highlight w:val="none"/>
        </w:rPr>
        <w:t>发展基础</w:t>
      </w:r>
      <w:bookmarkEnd w:id="18"/>
      <w:bookmarkEnd w:id="19"/>
      <w:bookmarkEnd w:id="20"/>
      <w:bookmarkEnd w:id="21"/>
      <w:bookmarkEnd w:id="22"/>
      <w:bookmarkEnd w:id="23"/>
      <w:bookmarkEnd w:id="24"/>
      <w:bookmarkEnd w:id="25"/>
      <w:bookmarkEnd w:id="26"/>
      <w:bookmarkEnd w:id="27"/>
      <w:bookmarkEnd w:id="28"/>
      <w:bookmarkEnd w:id="29"/>
      <w:bookmarkEnd w:id="30"/>
      <w:r>
        <w:rPr>
          <w:rFonts w:eastAsia="黑体"/>
          <w:sz w:val="32"/>
          <w:szCs w:val="32"/>
          <w:highlight w:val="none"/>
        </w:rPr>
        <w:t>和面临形势</w:t>
      </w:r>
      <w:bookmarkEnd w:id="31"/>
      <w:bookmarkEnd w:id="32"/>
      <w:bookmarkEnd w:id="33"/>
      <w:bookmarkEnd w:id="34"/>
      <w:bookmarkEnd w:id="35"/>
    </w:p>
    <w:p>
      <w:pPr>
        <w:pStyle w:val="4"/>
        <w:snapToGrid w:val="0"/>
        <w:spacing w:line="600" w:lineRule="exact"/>
        <w:ind w:firstLine="640" w:firstLineChars="200"/>
        <w:rPr>
          <w:rFonts w:eastAsia="仿宋_GB2312"/>
          <w:sz w:val="32"/>
          <w:szCs w:val="32"/>
          <w:highlight w:val="none"/>
        </w:rPr>
      </w:pPr>
      <w:r>
        <w:rPr>
          <w:rFonts w:eastAsia="仿宋_GB2312"/>
          <w:sz w:val="32"/>
          <w:szCs w:val="32"/>
          <w:highlight w:val="none"/>
        </w:rPr>
        <w:t>“</w:t>
      </w:r>
      <w:r>
        <w:rPr>
          <w:rFonts w:eastAsia="仿宋_GB2312"/>
          <w:color w:val="000000"/>
          <w:sz w:val="32"/>
          <w:szCs w:val="32"/>
          <w:highlight w:val="none"/>
        </w:rPr>
        <w:t>十三五</w:t>
      </w:r>
      <w:r>
        <w:rPr>
          <w:rFonts w:eastAsia="仿宋_GB2312"/>
          <w:sz w:val="32"/>
          <w:szCs w:val="32"/>
          <w:highlight w:val="none"/>
        </w:rPr>
        <w:t>”</w:t>
      </w:r>
      <w:r>
        <w:rPr>
          <w:rFonts w:eastAsia="仿宋_GB2312"/>
          <w:color w:val="000000"/>
          <w:sz w:val="32"/>
          <w:szCs w:val="32"/>
          <w:highlight w:val="none"/>
        </w:rPr>
        <w:t>时期，昆山坚持以习近平新时代中国特色社会主义思想为指导，在市委市政府领导下，充分弘扬“昆山之路”精神，加快制造强市建设，积极应对复杂国际形势，科学统筹稳增长、调结构、扩投资、优服务，推动制造业</w:t>
      </w:r>
      <w:r>
        <w:rPr>
          <w:rFonts w:eastAsia="仿宋_GB2312"/>
          <w:sz w:val="32"/>
          <w:szCs w:val="32"/>
          <w:highlight w:val="none"/>
        </w:rPr>
        <w:t>综合实力迈向新台阶，为“十四五”制造业高质量发展奠定了坚实基础。</w:t>
      </w:r>
    </w:p>
    <w:p>
      <w:pPr>
        <w:pStyle w:val="4"/>
        <w:spacing w:line="600" w:lineRule="exact"/>
        <w:ind w:firstLine="643" w:firstLineChars="200"/>
        <w:outlineLvl w:val="1"/>
        <w:rPr>
          <w:rFonts w:eastAsia="楷体_GB2312"/>
          <w:b/>
          <w:bCs/>
          <w:color w:val="000000"/>
          <w:kern w:val="0"/>
          <w:sz w:val="32"/>
          <w:szCs w:val="32"/>
          <w:highlight w:val="none"/>
        </w:rPr>
      </w:pPr>
      <w:bookmarkStart w:id="36" w:name="_Toc27041"/>
      <w:bookmarkStart w:id="37" w:name="_Toc78802154"/>
      <w:bookmarkStart w:id="38" w:name="_Toc7096"/>
      <w:bookmarkStart w:id="39" w:name="_Toc14724"/>
      <w:bookmarkStart w:id="40" w:name="_Toc56776822"/>
      <w:bookmarkStart w:id="41" w:name="_Toc6615"/>
      <w:bookmarkStart w:id="42" w:name="_Toc10666"/>
      <w:bookmarkStart w:id="43" w:name="_Toc4000"/>
      <w:bookmarkStart w:id="44" w:name="_Toc84829649"/>
      <w:bookmarkStart w:id="45" w:name="_Toc8201"/>
      <w:bookmarkStart w:id="46" w:name="_Toc6500"/>
      <w:bookmarkStart w:id="47" w:name="_Toc25520"/>
      <w:bookmarkStart w:id="48" w:name="_Toc31577"/>
      <w:bookmarkStart w:id="49" w:name="_Toc4014"/>
      <w:bookmarkStart w:id="50" w:name="_Toc31544"/>
      <w:bookmarkStart w:id="51" w:name="_Toc7023"/>
      <w:bookmarkStart w:id="52" w:name="_Toc81518439"/>
      <w:bookmarkStart w:id="53" w:name="_Toc27815"/>
      <w:bookmarkStart w:id="54" w:name="_Toc25629"/>
      <w:bookmarkStart w:id="55" w:name="_Toc768"/>
      <w:bookmarkStart w:id="56" w:name="_Toc20501"/>
      <w:bookmarkStart w:id="57" w:name="_Toc16481"/>
      <w:bookmarkStart w:id="58" w:name="_Toc28410"/>
      <w:bookmarkStart w:id="59" w:name="_Toc27081"/>
      <w:bookmarkStart w:id="60" w:name="_Toc20126"/>
      <w:bookmarkStart w:id="61" w:name="_Toc88424321"/>
      <w:bookmarkStart w:id="62" w:name="_Toc24698"/>
      <w:r>
        <w:rPr>
          <w:rFonts w:eastAsia="楷体_GB2312"/>
          <w:b/>
          <w:bCs/>
          <w:color w:val="000000"/>
          <w:kern w:val="0"/>
          <w:sz w:val="32"/>
          <w:szCs w:val="32"/>
          <w:highlight w:val="none"/>
        </w:rPr>
        <w:t>（一）发展</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eastAsia="楷体_GB2312"/>
          <w:b/>
          <w:bCs/>
          <w:color w:val="000000"/>
          <w:kern w:val="0"/>
          <w:sz w:val="32"/>
          <w:szCs w:val="32"/>
          <w:highlight w:val="none"/>
        </w:rPr>
        <w:t>基础</w:t>
      </w:r>
      <w:bookmarkEnd w:id="58"/>
      <w:bookmarkEnd w:id="59"/>
      <w:bookmarkEnd w:id="60"/>
      <w:bookmarkEnd w:id="61"/>
      <w:bookmarkEnd w:id="62"/>
    </w:p>
    <w:p>
      <w:pPr>
        <w:widowControl/>
        <w:adjustRightInd w:val="0"/>
        <w:spacing w:line="600" w:lineRule="exact"/>
        <w:ind w:firstLine="643" w:firstLineChars="200"/>
        <w:outlineLvl w:val="2"/>
        <w:rPr>
          <w:rFonts w:eastAsia="仿宋_GB2312"/>
          <w:b/>
          <w:bCs/>
          <w:sz w:val="32"/>
          <w:szCs w:val="32"/>
          <w:highlight w:val="none"/>
        </w:rPr>
      </w:pPr>
      <w:bookmarkStart w:id="63" w:name="_Toc45645482"/>
      <w:bookmarkStart w:id="64" w:name="_Toc56776823"/>
      <w:r>
        <w:rPr>
          <w:rFonts w:eastAsia="方正仿宋_GBK"/>
          <w:b/>
          <w:bCs/>
          <w:kern w:val="0"/>
          <w:sz w:val="32"/>
          <w:szCs w:val="32"/>
          <w:highlight w:val="none"/>
        </w:rPr>
        <w:t>1</w:t>
      </w:r>
      <w:r>
        <w:rPr>
          <w:rFonts w:eastAsia="仿宋_GB2312"/>
          <w:b/>
          <w:bCs/>
          <w:sz w:val="32"/>
          <w:szCs w:val="32"/>
          <w:highlight w:val="none"/>
        </w:rPr>
        <w:t>、规模</w:t>
      </w:r>
      <w:bookmarkEnd w:id="63"/>
      <w:r>
        <w:rPr>
          <w:rFonts w:eastAsia="仿宋_GB2312"/>
          <w:b/>
          <w:bCs/>
          <w:sz w:val="32"/>
          <w:szCs w:val="32"/>
          <w:highlight w:val="none"/>
        </w:rPr>
        <w:t>实力稳居前列</w:t>
      </w:r>
    </w:p>
    <w:bookmarkEnd w:id="64"/>
    <w:p>
      <w:pPr>
        <w:pStyle w:val="4"/>
        <w:spacing w:line="600" w:lineRule="exact"/>
        <w:ind w:firstLine="640" w:firstLineChars="200"/>
        <w:rPr>
          <w:rFonts w:eastAsia="仿宋_GB2312"/>
          <w:sz w:val="32"/>
          <w:szCs w:val="32"/>
          <w:highlight w:val="none"/>
        </w:rPr>
      </w:pPr>
      <w:r>
        <w:rPr>
          <w:rFonts w:eastAsia="仿宋_GB2312"/>
          <w:sz w:val="32"/>
          <w:szCs w:val="32"/>
          <w:highlight w:val="none"/>
        </w:rPr>
        <w:t>“十三五”末，昆山工业总产值突破万亿元，成为全国首个工业总产值万亿级的县级市。规上工业总产值、规上工业增加值都位居苏州各市区首位。“十三五”期间规上工业总产值增速分别为0.9%、8.7%、4.8%、2.9%、7.0%，2020年规上工业总产值达到9000.8亿元；规上工业增加值增速分别为3.5%、8.1%、6.1%、3.8%、7.8%，2020年规上工业增加值达到1853亿元。</w:t>
      </w:r>
      <w:r>
        <w:rPr>
          <w:rFonts w:eastAsia="仿宋_GB2312"/>
          <w:color w:val="000000"/>
          <w:sz w:val="32"/>
          <w:szCs w:val="32"/>
          <w:highlight w:val="none"/>
        </w:rPr>
        <w:t>已形成电子信息和装备制造2个超千亿级产业集群、一批百亿级产业集群。</w:t>
      </w:r>
      <w:r>
        <w:rPr>
          <w:rFonts w:eastAsia="仿宋_GB2312"/>
          <w:sz w:val="32"/>
          <w:szCs w:val="32"/>
          <w:highlight w:val="none"/>
        </w:rPr>
        <w:t>拥有昆山开发区光电产业园、昆山高新区机器人产业基地、昆山小核酸及生物医药产业园等多个知名产业园区。</w:t>
      </w:r>
    </w:p>
    <w:p>
      <w:pPr>
        <w:pStyle w:val="4"/>
        <w:spacing w:line="600" w:lineRule="exact"/>
        <w:ind w:firstLine="643" w:firstLineChars="200"/>
        <w:outlineLvl w:val="2"/>
        <w:rPr>
          <w:rFonts w:eastAsia="仿宋_GB2312"/>
          <w:b/>
          <w:bCs/>
          <w:sz w:val="32"/>
          <w:szCs w:val="32"/>
          <w:highlight w:val="none"/>
        </w:rPr>
      </w:pPr>
      <w:r>
        <w:rPr>
          <w:rFonts w:eastAsia="仿宋_GB2312"/>
          <w:b/>
          <w:bCs/>
          <w:sz w:val="32"/>
          <w:szCs w:val="32"/>
          <w:highlight w:val="none"/>
        </w:rPr>
        <w:t>2、质量效益稳步提升</w:t>
      </w:r>
    </w:p>
    <w:p>
      <w:pPr>
        <w:pStyle w:val="4"/>
        <w:spacing w:line="600" w:lineRule="exact"/>
        <w:ind w:firstLine="640" w:firstLineChars="200"/>
        <w:rPr>
          <w:rFonts w:eastAsia="仿宋_GB2312"/>
          <w:sz w:val="32"/>
          <w:szCs w:val="32"/>
          <w:highlight w:val="none"/>
        </w:rPr>
      </w:pPr>
      <w:r>
        <w:rPr>
          <w:rFonts w:eastAsia="仿宋_GB2312"/>
          <w:sz w:val="32"/>
          <w:szCs w:val="32"/>
          <w:highlight w:val="none"/>
        </w:rPr>
        <w:t>“十三五”末，规上工业企业利润480.9亿元，比“十二五”末提高20.6%；规上工业企业全员劳动生产率为27.8万元/人，比“十二五”末提高35.8%。产业结构调整持续深化，2020年战略性新兴产业产值4972.3亿元，占规上工业总产值比重55.2%，同比提升3.3个百分点；重点培育的光电、半导体、小核酸及生物医药、智能制造四大产业共完成销售收入2849.3亿元。骨干企业支撑有力，产值超百亿元企业12家，比“十二五”末新增3家；累计上市企业40家，比“十二五”末新增25家；省级以上专精特新“小巨人”企业38家，比“十二五”末新增31家。好孩子集团获得2020年中国工业大奖，震雄铜业入围2020年中国民营企业500强，立讯电子、联滔电子等8家企业入围2020苏州民营企业100强。</w:t>
      </w:r>
    </w:p>
    <w:p>
      <w:pPr>
        <w:widowControl/>
        <w:adjustRightInd w:val="0"/>
        <w:spacing w:line="600" w:lineRule="exact"/>
        <w:ind w:firstLine="643" w:firstLineChars="200"/>
        <w:outlineLvl w:val="2"/>
        <w:rPr>
          <w:rFonts w:eastAsia="仿宋_GB2312"/>
          <w:b/>
          <w:bCs/>
          <w:sz w:val="32"/>
          <w:szCs w:val="32"/>
          <w:highlight w:val="none"/>
        </w:rPr>
      </w:pPr>
      <w:bookmarkStart w:id="65" w:name="_Toc56776826"/>
      <w:bookmarkStart w:id="66" w:name="_Toc45645484"/>
      <w:r>
        <w:rPr>
          <w:rFonts w:eastAsia="方正仿宋_GBK"/>
          <w:b/>
          <w:bCs/>
          <w:kern w:val="0"/>
          <w:sz w:val="32"/>
          <w:szCs w:val="32"/>
          <w:highlight w:val="none"/>
        </w:rPr>
        <w:t>3</w:t>
      </w:r>
      <w:r>
        <w:rPr>
          <w:rFonts w:eastAsia="仿宋_GB2312"/>
          <w:b/>
          <w:bCs/>
          <w:sz w:val="32"/>
          <w:szCs w:val="32"/>
          <w:highlight w:val="none"/>
        </w:rPr>
        <w:t>、创新能力逐步增强</w:t>
      </w:r>
      <w:bookmarkEnd w:id="65"/>
      <w:bookmarkEnd w:id="66"/>
    </w:p>
    <w:p>
      <w:pPr>
        <w:widowControl/>
        <w:spacing w:line="600" w:lineRule="exact"/>
        <w:ind w:firstLine="640" w:firstLineChars="200"/>
        <w:rPr>
          <w:rFonts w:eastAsia="仿宋_GB2312"/>
          <w:sz w:val="32"/>
          <w:szCs w:val="32"/>
          <w:highlight w:val="none"/>
        </w:rPr>
      </w:pPr>
      <w:r>
        <w:rPr>
          <w:rFonts w:eastAsia="仿宋_GB2312"/>
          <w:sz w:val="32"/>
          <w:szCs w:val="32"/>
          <w:highlight w:val="none"/>
        </w:rPr>
        <w:t>企业创新主体地位进一步强化，有效高新技术企业达2014家，稳居全国县级市首位，是“十二五”末的2.1倍；省级以上企业技术中心143家，是“十二五”末的2.9倍。全力推进</w:t>
      </w:r>
      <w:bookmarkStart w:id="67" w:name="OLE_LINK6"/>
      <w:r>
        <w:rPr>
          <w:rFonts w:eastAsia="仿宋_GB2312"/>
          <w:sz w:val="32"/>
          <w:szCs w:val="32"/>
          <w:highlight w:val="none"/>
        </w:rPr>
        <w:t>“一城一园一港”创新载体</w:t>
      </w:r>
      <w:bookmarkEnd w:id="67"/>
      <w:r>
        <w:rPr>
          <w:rFonts w:eastAsia="仿宋_GB2312"/>
          <w:sz w:val="32"/>
          <w:szCs w:val="32"/>
          <w:highlight w:val="none"/>
        </w:rPr>
        <w:t>建设，新入驻人才科创项目704个。累计培育国家级科技企业孵化器7家、省级19家，省市级以上工业设计中心23家。万人发明专利拥有量72.2</w:t>
      </w:r>
      <w:r>
        <w:rPr>
          <w:rFonts w:hint="eastAsia" w:eastAsia="仿宋_GB2312"/>
          <w:sz w:val="32"/>
          <w:szCs w:val="32"/>
          <w:highlight w:val="none"/>
        </w:rPr>
        <w:t>（人口166.92万）</w:t>
      </w:r>
      <w:r>
        <w:rPr>
          <w:rFonts w:eastAsia="仿宋_GB2312"/>
          <w:sz w:val="32"/>
          <w:szCs w:val="32"/>
          <w:highlight w:val="none"/>
        </w:rPr>
        <w:t>件，比“十二五”末增长130%。积极推进祖冲之自主可控产业技术攻关计划，累计实施攻关项目330项；累计认定省级首台（套）重大装备及关键部件48项；获得第二十一届中国专利奖9个奖项，占苏州全市总数28%。</w:t>
      </w:r>
    </w:p>
    <w:p>
      <w:pPr>
        <w:widowControl/>
        <w:adjustRightInd w:val="0"/>
        <w:spacing w:line="600" w:lineRule="exact"/>
        <w:ind w:firstLine="643" w:firstLineChars="200"/>
        <w:outlineLvl w:val="2"/>
        <w:rPr>
          <w:rFonts w:eastAsia="仿宋_GB2312"/>
          <w:sz w:val="32"/>
          <w:szCs w:val="32"/>
          <w:highlight w:val="none"/>
        </w:rPr>
      </w:pPr>
      <w:bookmarkStart w:id="68" w:name="_Toc45645485"/>
      <w:bookmarkStart w:id="69" w:name="_Toc56776827"/>
      <w:r>
        <w:rPr>
          <w:rFonts w:eastAsia="方正仿宋_GBK"/>
          <w:b/>
          <w:bCs/>
          <w:kern w:val="0"/>
          <w:sz w:val="32"/>
          <w:szCs w:val="32"/>
          <w:highlight w:val="none"/>
        </w:rPr>
        <w:t>4</w:t>
      </w:r>
      <w:r>
        <w:rPr>
          <w:rFonts w:eastAsia="仿宋_GB2312"/>
          <w:b/>
          <w:bCs/>
          <w:sz w:val="32"/>
          <w:szCs w:val="32"/>
          <w:highlight w:val="none"/>
        </w:rPr>
        <w:t>、融合发展</w:t>
      </w:r>
      <w:bookmarkEnd w:id="68"/>
      <w:bookmarkEnd w:id="69"/>
      <w:r>
        <w:rPr>
          <w:rFonts w:eastAsia="仿宋_GB2312"/>
          <w:b/>
          <w:bCs/>
          <w:sz w:val="32"/>
          <w:szCs w:val="32"/>
          <w:highlight w:val="none"/>
        </w:rPr>
        <w:t>成效显著</w:t>
      </w:r>
    </w:p>
    <w:p>
      <w:pPr>
        <w:widowControl/>
        <w:spacing w:line="600" w:lineRule="exact"/>
        <w:ind w:firstLine="640" w:firstLineChars="200"/>
        <w:rPr>
          <w:rFonts w:eastAsia="仿宋_GB2312"/>
          <w:sz w:val="32"/>
          <w:szCs w:val="32"/>
          <w:highlight w:val="none"/>
        </w:rPr>
      </w:pPr>
      <w:r>
        <w:rPr>
          <w:rFonts w:eastAsia="仿宋_GB2312"/>
          <w:sz w:val="32"/>
          <w:szCs w:val="32"/>
          <w:highlight w:val="none"/>
        </w:rPr>
        <w:t>信息基础设施持续升级，国家超级计算昆山中心建成运行，昆山花桥经济开发区被认定为国家级新型工业化产业示范基地（数据中心类）。工业互联网建设初具规模，累计建成6家省级工业互联网标杆工厂、11个省级工业互联网服务资源池、3家省级重点工业互联网平台。推动5000多家企业上云，其中省星级上云企业209家。智能制造示范成效显著，累计培育3家省级智能工厂、83家省级示范智能车间、5家省级智能制造领军服务机构。</w:t>
      </w:r>
    </w:p>
    <w:p>
      <w:pPr>
        <w:pStyle w:val="11"/>
        <w:widowControl/>
        <w:spacing w:before="0" w:beforeAutospacing="0" w:after="0" w:afterAutospacing="0" w:line="600" w:lineRule="exact"/>
        <w:ind w:firstLine="643" w:firstLineChars="200"/>
        <w:jc w:val="both"/>
        <w:outlineLvl w:val="2"/>
        <w:rPr>
          <w:rFonts w:eastAsia="仿宋_GB2312"/>
          <w:kern w:val="2"/>
          <w:sz w:val="32"/>
          <w:szCs w:val="32"/>
          <w:highlight w:val="none"/>
        </w:rPr>
      </w:pPr>
      <w:bookmarkStart w:id="70" w:name="_Toc56776828"/>
      <w:bookmarkStart w:id="71" w:name="_Toc45645486"/>
      <w:r>
        <w:rPr>
          <w:rFonts w:eastAsia="方正仿宋_GBK"/>
          <w:b/>
          <w:bCs/>
          <w:sz w:val="32"/>
          <w:szCs w:val="32"/>
          <w:highlight w:val="none"/>
        </w:rPr>
        <w:t>5</w:t>
      </w:r>
      <w:r>
        <w:rPr>
          <w:rFonts w:eastAsia="仿宋_GB2312"/>
          <w:b/>
          <w:bCs/>
          <w:kern w:val="2"/>
          <w:sz w:val="32"/>
          <w:szCs w:val="32"/>
          <w:highlight w:val="none"/>
        </w:rPr>
        <w:t>、绿色发展取得成效</w:t>
      </w:r>
      <w:bookmarkEnd w:id="70"/>
      <w:bookmarkEnd w:id="71"/>
    </w:p>
    <w:p>
      <w:pPr>
        <w:spacing w:line="600" w:lineRule="exact"/>
        <w:ind w:firstLine="640" w:firstLineChars="200"/>
        <w:rPr>
          <w:rFonts w:eastAsia="仿宋_GB2312"/>
          <w:sz w:val="32"/>
          <w:szCs w:val="32"/>
          <w:highlight w:val="none"/>
        </w:rPr>
      </w:pPr>
      <w:r>
        <w:rPr>
          <w:rFonts w:eastAsia="仿宋_GB2312"/>
          <w:sz w:val="32"/>
          <w:szCs w:val="32"/>
          <w:highlight w:val="none"/>
        </w:rPr>
        <w:t>资源要素集约利用水平不断提升，昆山连续两年蝉联苏州亩产论英雄百强榜上榜企业数第一，参评企业亩均销售收入年均增幅达7.3%。绿色制造稳步推进，“十三五”末，累计7家企业入选国家工信部绿色制造名单，其中绿色工厂6家、绿色设计产品1种。累计培育8家江苏省绿色工厂、47家市级循环经济示范企业。年度综合能耗增速持续放缓，2019年和2020年连续两年实现负增长；规上工业单位产值能耗在2017年达到峰值0.0433吨标准煤/万元后，逐年下降，保持低位运行。加快淘汰落后产能，“十三五”期间分类整治“散乱污”企业8496家，关停淘汰落后化工企业120家，去产能关停企业（淘汰产线）955家，顺利完成目标任务。</w:t>
      </w:r>
    </w:p>
    <w:p>
      <w:pPr>
        <w:widowControl/>
        <w:spacing w:line="600" w:lineRule="exact"/>
        <w:ind w:firstLine="643" w:firstLineChars="200"/>
        <w:outlineLvl w:val="2"/>
        <w:rPr>
          <w:rFonts w:eastAsia="仿宋_GB2312"/>
          <w:color w:val="FF0000"/>
          <w:sz w:val="32"/>
          <w:szCs w:val="32"/>
          <w:highlight w:val="none"/>
        </w:rPr>
      </w:pPr>
      <w:bookmarkStart w:id="72" w:name="_Toc56776829"/>
      <w:bookmarkStart w:id="73" w:name="_Toc45645487"/>
      <w:r>
        <w:rPr>
          <w:rFonts w:eastAsia="方正仿宋_GBK"/>
          <w:b/>
          <w:bCs/>
          <w:kern w:val="0"/>
          <w:sz w:val="32"/>
          <w:szCs w:val="32"/>
          <w:highlight w:val="none"/>
        </w:rPr>
        <w:t>6</w:t>
      </w:r>
      <w:r>
        <w:rPr>
          <w:rFonts w:eastAsia="仿宋_GB2312"/>
          <w:b/>
          <w:bCs/>
          <w:sz w:val="32"/>
          <w:szCs w:val="32"/>
          <w:highlight w:val="none"/>
        </w:rPr>
        <w:t>、</w:t>
      </w:r>
      <w:bookmarkEnd w:id="72"/>
      <w:bookmarkEnd w:id="73"/>
      <w:r>
        <w:rPr>
          <w:rFonts w:eastAsia="仿宋_GB2312"/>
          <w:b/>
          <w:bCs/>
          <w:sz w:val="32"/>
          <w:szCs w:val="32"/>
          <w:highlight w:val="none"/>
        </w:rPr>
        <w:t>开放合作持续深化</w:t>
      </w:r>
    </w:p>
    <w:p>
      <w:pPr>
        <w:adjustRightInd w:val="0"/>
        <w:snapToGrid w:val="0"/>
        <w:spacing w:line="600" w:lineRule="exact"/>
        <w:ind w:firstLine="640" w:firstLineChars="200"/>
        <w:rPr>
          <w:rFonts w:eastAsia="仿宋_GB2312"/>
          <w:sz w:val="32"/>
          <w:szCs w:val="32"/>
          <w:highlight w:val="none"/>
        </w:rPr>
      </w:pPr>
      <w:r>
        <w:rPr>
          <w:rFonts w:eastAsia="仿宋_GB2312"/>
          <w:color w:val="000000"/>
          <w:sz w:val="32"/>
          <w:szCs w:val="32"/>
          <w:highlight w:val="none"/>
        </w:rPr>
        <w:t>积极融入长三角一体化发展，出台《对接融入上海三年提升工程实施方案（2018～2020年）》，落实223项对接上海事项，不断深化</w:t>
      </w:r>
      <w:bookmarkStart w:id="74" w:name="OLE_LINK5"/>
      <w:r>
        <w:rPr>
          <w:rFonts w:eastAsia="仿宋_GB2312"/>
          <w:sz w:val="32"/>
          <w:szCs w:val="32"/>
          <w:highlight w:val="none"/>
        </w:rPr>
        <w:t>虹桥—昆山—相城产业</w:t>
      </w:r>
      <w:bookmarkEnd w:id="74"/>
      <w:r>
        <w:rPr>
          <w:rFonts w:eastAsia="仿宋_GB2312"/>
          <w:sz w:val="32"/>
          <w:szCs w:val="32"/>
          <w:highlight w:val="none"/>
        </w:rPr>
        <w:t>合作、</w:t>
      </w:r>
      <w:bookmarkStart w:id="75" w:name="OLE_LINK1"/>
      <w:r>
        <w:rPr>
          <w:rFonts w:eastAsia="仿宋_GB2312"/>
          <w:sz w:val="32"/>
          <w:szCs w:val="32"/>
          <w:highlight w:val="none"/>
        </w:rPr>
        <w:t>“嘉昆太”协同创新</w:t>
      </w:r>
      <w:bookmarkEnd w:id="75"/>
      <w:r>
        <w:rPr>
          <w:rFonts w:eastAsia="仿宋_GB2312"/>
          <w:sz w:val="32"/>
          <w:szCs w:val="32"/>
          <w:highlight w:val="none"/>
        </w:rPr>
        <w:t>、</w:t>
      </w:r>
      <w:bookmarkStart w:id="76" w:name="OLE_LINK2"/>
      <w:r>
        <w:rPr>
          <w:rFonts w:eastAsia="仿宋_GB2312"/>
          <w:sz w:val="32"/>
          <w:szCs w:val="32"/>
          <w:highlight w:val="none"/>
        </w:rPr>
        <w:t>“4+2”更高质量一体化发展实践联盟</w:t>
      </w:r>
      <w:bookmarkEnd w:id="76"/>
      <w:r>
        <w:rPr>
          <w:rFonts w:eastAsia="仿宋_GB2312"/>
          <w:sz w:val="32"/>
          <w:szCs w:val="32"/>
          <w:highlight w:val="none"/>
        </w:rPr>
        <w:t>、环淀山湖战略协同区等跨区域合作机制</w:t>
      </w:r>
      <w:r>
        <w:rPr>
          <w:rFonts w:eastAsia="仿宋_GB2312"/>
          <w:color w:val="000000"/>
          <w:sz w:val="32"/>
          <w:szCs w:val="32"/>
          <w:highlight w:val="none"/>
        </w:rPr>
        <w:t>。昆台产业合作成效明显，</w:t>
      </w:r>
      <w:r>
        <w:rPr>
          <w:rFonts w:eastAsia="仿宋_GB2312"/>
          <w:bCs/>
          <w:color w:val="000000"/>
          <w:sz w:val="32"/>
          <w:szCs w:val="32"/>
          <w:highlight w:val="none"/>
        </w:rPr>
        <w:t>昆山试验区累计召开9次部省际联席会议，</w:t>
      </w:r>
      <w:r>
        <w:rPr>
          <w:rFonts w:eastAsia="仿宋_GB2312"/>
          <w:bCs/>
          <w:sz w:val="32"/>
          <w:szCs w:val="32"/>
          <w:highlight w:val="none"/>
        </w:rPr>
        <w:t>国务院批复同意将试验区范围扩大至昆山全市，</w:t>
      </w:r>
      <w:r>
        <w:rPr>
          <w:rFonts w:eastAsia="仿宋_GB2312"/>
          <w:bCs/>
          <w:color w:val="000000"/>
          <w:sz w:val="32"/>
          <w:szCs w:val="32"/>
          <w:highlight w:val="none"/>
        </w:rPr>
        <w:t>《昆山深化两岸产业合作试验区条例》获省人大常委会审议通过，昆山金融支持深化两岸产业</w:t>
      </w:r>
      <w:r>
        <w:rPr>
          <w:rFonts w:eastAsia="仿宋_GB2312"/>
          <w:color w:val="000000"/>
          <w:sz w:val="32"/>
          <w:szCs w:val="32"/>
          <w:highlight w:val="none"/>
        </w:rPr>
        <w:t>合作改革创新试验区获批成立。开放型经济量稳质优，昆山</w:t>
      </w:r>
      <w:r>
        <w:rPr>
          <w:rFonts w:eastAsia="仿宋_GB2312"/>
          <w:sz w:val="32"/>
          <w:szCs w:val="32"/>
          <w:highlight w:val="none"/>
        </w:rPr>
        <w:t>获批国家进口贸易促进创新示范区，“十三五”末对外进出口总额868.4亿美元，其中出口573.8亿美元，比“十二五”末增长6.7%；实际使用外资10.5亿美元。昆山主动参与“一带一路”建设，与埃塞俄比亚开展园区管理经验输出合作。</w:t>
      </w:r>
    </w:p>
    <w:p>
      <w:pPr>
        <w:adjustRightInd w:val="0"/>
        <w:snapToGrid w:val="0"/>
        <w:spacing w:line="600" w:lineRule="exact"/>
        <w:ind w:firstLine="640" w:firstLineChars="200"/>
        <w:rPr>
          <w:rFonts w:eastAsia="仿宋_GB2312"/>
          <w:sz w:val="32"/>
          <w:szCs w:val="32"/>
          <w:highlight w:val="none"/>
        </w:rPr>
      </w:pPr>
      <w:r>
        <w:rPr>
          <w:rFonts w:eastAsia="仿宋_GB2312"/>
          <w:sz w:val="32"/>
          <w:szCs w:val="32"/>
          <w:highlight w:val="none"/>
        </w:rPr>
        <w:t>“十三五”以来，昆山制造业发展取得显著成就，发展水平稳居县域经济前列，但对标高质量发展要求仍存在不少差距。产业结构仍需优化，高新技术产业占比不高，高技术制造业投资增速较慢，新旧动能转换尚未完全显现。</w:t>
      </w:r>
      <w:r>
        <w:rPr>
          <w:rFonts w:eastAsia="仿宋_GB2312"/>
          <w:color w:val="000000"/>
          <w:sz w:val="32"/>
          <w:szCs w:val="32"/>
          <w:highlight w:val="none"/>
        </w:rPr>
        <w:t>创新能力与产业规模体量不匹配，核心技术的自主可控水平不高，链接创新资源能级不强，高端创新载体建设有待加强，规上工业企业研发投入水平与先进地区仍有差距。产业链现代化水平有待提高，产业基础能力不强，“缺芯少核”等技术短板突出，</w:t>
      </w:r>
      <w:r>
        <w:rPr>
          <w:rFonts w:eastAsia="仿宋_GB2312"/>
          <w:sz w:val="32"/>
          <w:szCs w:val="32"/>
          <w:highlight w:val="none"/>
        </w:rPr>
        <w:t>中高端产品供给不足</w:t>
      </w:r>
      <w:r>
        <w:rPr>
          <w:rFonts w:eastAsia="仿宋_GB2312"/>
          <w:color w:val="000000"/>
          <w:sz w:val="32"/>
          <w:szCs w:val="32"/>
          <w:highlight w:val="none"/>
        </w:rPr>
        <w:t>。</w:t>
      </w:r>
      <w:r>
        <w:rPr>
          <w:rFonts w:eastAsia="仿宋_GB2312"/>
          <w:sz w:val="32"/>
          <w:szCs w:val="32"/>
          <w:highlight w:val="none"/>
        </w:rPr>
        <w:t>百亿级企业和独角兽创新型企业不多，</w:t>
      </w:r>
      <w:r>
        <w:rPr>
          <w:rFonts w:eastAsia="仿宋_GB2312"/>
          <w:color w:val="000000"/>
          <w:sz w:val="32"/>
          <w:szCs w:val="32"/>
          <w:highlight w:val="none"/>
        </w:rPr>
        <w:t>有影响力的本土终端或整机品牌较少</w:t>
      </w:r>
      <w:r>
        <w:rPr>
          <w:rFonts w:eastAsia="仿宋_GB2312"/>
          <w:sz w:val="32"/>
          <w:szCs w:val="32"/>
          <w:highlight w:val="none"/>
        </w:rPr>
        <w:t>，规上工业核心增加值率不高。</w:t>
      </w:r>
    </w:p>
    <w:p>
      <w:pPr>
        <w:pStyle w:val="4"/>
        <w:spacing w:line="600" w:lineRule="exact"/>
        <w:ind w:firstLine="643" w:firstLineChars="200"/>
        <w:outlineLvl w:val="1"/>
        <w:rPr>
          <w:rFonts w:eastAsia="楷体_GB2312"/>
          <w:b/>
          <w:bCs/>
          <w:color w:val="000000"/>
          <w:kern w:val="0"/>
          <w:sz w:val="32"/>
          <w:szCs w:val="32"/>
          <w:highlight w:val="none"/>
        </w:rPr>
      </w:pPr>
      <w:bookmarkStart w:id="77" w:name="_Toc10404"/>
      <w:bookmarkStart w:id="78" w:name="_Toc6898"/>
      <w:bookmarkStart w:id="79" w:name="_Toc7106"/>
      <w:bookmarkStart w:id="80" w:name="_Toc22223"/>
      <w:bookmarkStart w:id="81" w:name="_Toc78802156"/>
      <w:bookmarkStart w:id="82" w:name="_Toc8033"/>
      <w:bookmarkStart w:id="83" w:name="_Toc24050"/>
      <w:bookmarkStart w:id="84" w:name="_Toc5103"/>
      <w:bookmarkStart w:id="85" w:name="_Toc32432"/>
      <w:bookmarkStart w:id="86" w:name="_Toc7876"/>
      <w:bookmarkStart w:id="87" w:name="_Toc88424322"/>
      <w:bookmarkStart w:id="88" w:name="_Toc17770"/>
      <w:bookmarkStart w:id="89" w:name="_Toc13798"/>
      <w:bookmarkStart w:id="90" w:name="_Toc3161"/>
      <w:bookmarkStart w:id="91" w:name="_Toc21914"/>
      <w:bookmarkStart w:id="92" w:name="_Toc21518"/>
      <w:bookmarkStart w:id="93" w:name="_Toc11208"/>
      <w:bookmarkStart w:id="94" w:name="_Toc26904"/>
      <w:bookmarkStart w:id="95" w:name="_Toc28894"/>
      <w:bookmarkStart w:id="96" w:name="_Toc14686"/>
      <w:bookmarkStart w:id="97" w:name="_Toc32607"/>
      <w:bookmarkStart w:id="98" w:name="_Toc11935"/>
      <w:bookmarkStart w:id="99" w:name="_Toc81518441"/>
      <w:bookmarkStart w:id="100" w:name="_Toc18985"/>
      <w:bookmarkStart w:id="101" w:name="_Toc22452"/>
      <w:bookmarkStart w:id="102" w:name="_Toc84829651"/>
      <w:bookmarkStart w:id="103" w:name="_Toc56776831"/>
      <w:r>
        <w:rPr>
          <w:rFonts w:eastAsia="楷体_GB2312"/>
          <w:b/>
          <w:bCs/>
          <w:color w:val="000000"/>
          <w:kern w:val="0"/>
          <w:sz w:val="32"/>
          <w:szCs w:val="32"/>
          <w:highlight w:val="none"/>
        </w:rPr>
        <w:t>（二）面临形势</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4"/>
        <w:spacing w:line="600" w:lineRule="exact"/>
        <w:ind w:firstLine="640" w:firstLineChars="200"/>
        <w:rPr>
          <w:rFonts w:eastAsia="楷体_GB2312"/>
          <w:b/>
          <w:bCs/>
          <w:color w:val="000000"/>
          <w:kern w:val="0"/>
          <w:sz w:val="32"/>
          <w:szCs w:val="32"/>
          <w:highlight w:val="none"/>
        </w:rPr>
      </w:pPr>
      <w:r>
        <w:rPr>
          <w:rFonts w:eastAsia="仿宋_GB2312"/>
          <w:sz w:val="32"/>
          <w:szCs w:val="32"/>
          <w:highlight w:val="none"/>
        </w:rPr>
        <w:t>“十四五”时期，昆山处于高质量发展、新旧动能实现根本转换的战略窗口期，面临复杂的发展环境，机遇和挑战都发生新的变化。</w:t>
      </w:r>
    </w:p>
    <w:p>
      <w:pPr>
        <w:pStyle w:val="4"/>
        <w:spacing w:line="600" w:lineRule="exact"/>
        <w:ind w:firstLine="643" w:firstLineChars="200"/>
        <w:outlineLvl w:val="2"/>
        <w:rPr>
          <w:highlight w:val="none"/>
        </w:rPr>
      </w:pPr>
      <w:r>
        <w:rPr>
          <w:rFonts w:eastAsia="楷体_GB2312"/>
          <w:b/>
          <w:bCs/>
          <w:sz w:val="32"/>
          <w:szCs w:val="32"/>
          <w:highlight w:val="none"/>
        </w:rPr>
        <w:t>1、机遇</w:t>
      </w:r>
    </w:p>
    <w:p>
      <w:pPr>
        <w:spacing w:line="600" w:lineRule="exact"/>
        <w:ind w:firstLine="643" w:firstLineChars="200"/>
        <w:rPr>
          <w:rFonts w:eastAsia="仿宋_GB2312"/>
          <w:sz w:val="32"/>
          <w:szCs w:val="32"/>
          <w:highlight w:val="none"/>
        </w:rPr>
      </w:pPr>
      <w:r>
        <w:rPr>
          <w:rFonts w:eastAsia="仿宋_GB2312"/>
          <w:b/>
          <w:bCs/>
          <w:color w:val="000000"/>
          <w:sz w:val="32"/>
          <w:szCs w:val="32"/>
          <w:highlight w:val="none"/>
        </w:rPr>
        <w:t>新一轮科技革命和产业变革深入发展，为昆山制造业转型升级提供新动力。</w:t>
      </w:r>
      <w:r>
        <w:rPr>
          <w:rFonts w:eastAsia="仿宋_GB2312"/>
          <w:color w:val="000000"/>
          <w:sz w:val="32"/>
          <w:szCs w:val="32"/>
          <w:highlight w:val="none"/>
        </w:rPr>
        <w:t>新一代信息技术加速突破应用，生命科学领域孕育新的变革，先进制造技术正在加速推进制造业向智能化、服务化、绿色化转型，能源技术将引发全球能源变革。昆山需要</w:t>
      </w:r>
      <w:r>
        <w:rPr>
          <w:rFonts w:eastAsia="仿宋_GB2312"/>
          <w:sz w:val="32"/>
          <w:szCs w:val="32"/>
          <w:highlight w:val="none"/>
        </w:rPr>
        <w:t>培育壮大战略新兴产业和高新技术产业，围绕产业链布局创新链，加快</w:t>
      </w:r>
      <w:r>
        <w:rPr>
          <w:rFonts w:eastAsia="仿宋_GB2312"/>
          <w:color w:val="000000"/>
          <w:sz w:val="32"/>
          <w:szCs w:val="32"/>
          <w:highlight w:val="none"/>
        </w:rPr>
        <w:t>建成有国际影响力的国家一流产业科创中心</w:t>
      </w:r>
      <w:r>
        <w:rPr>
          <w:rFonts w:eastAsia="仿宋_GB2312"/>
          <w:sz w:val="32"/>
          <w:szCs w:val="32"/>
          <w:highlight w:val="none"/>
        </w:rPr>
        <w:t>。</w:t>
      </w:r>
    </w:p>
    <w:p>
      <w:pPr>
        <w:spacing w:line="600" w:lineRule="exact"/>
        <w:ind w:firstLine="643" w:firstLineChars="200"/>
        <w:rPr>
          <w:rFonts w:eastAsia="仿宋_GB2312"/>
          <w:sz w:val="32"/>
          <w:szCs w:val="32"/>
          <w:highlight w:val="none"/>
        </w:rPr>
      </w:pPr>
      <w:r>
        <w:rPr>
          <w:rFonts w:eastAsia="仿宋_GB2312"/>
          <w:b/>
          <w:bCs/>
          <w:color w:val="000000"/>
          <w:sz w:val="32"/>
          <w:szCs w:val="32"/>
          <w:highlight w:val="none"/>
        </w:rPr>
        <w:t>“双循环”新发展格局，进一步拓展昆山制造业市场新空间。</w:t>
      </w:r>
      <w:r>
        <w:rPr>
          <w:rFonts w:eastAsia="仿宋_GB2312"/>
          <w:sz w:val="32"/>
          <w:szCs w:val="32"/>
          <w:highlight w:val="none"/>
        </w:rPr>
        <w:t>以国内大循环为主体、国内国际双循环相互促进的新发展格局，能够充分发挥“中国制造+中国消费”的超大规模融合优势，为制造业发展带来超大市场空间。《区域全面经济伙伴关系协定》的正式签署，中欧投资协定谈判的如期完成，将进一步促进国际区域合作。昆山需要深度融入“双循环”新格局，打造昆山制造品牌，推动更高水平开放合作，拓展制造业发展新空间。</w:t>
      </w:r>
    </w:p>
    <w:p>
      <w:pPr>
        <w:spacing w:line="600" w:lineRule="exact"/>
        <w:ind w:firstLine="643" w:firstLineChars="200"/>
        <w:rPr>
          <w:rFonts w:eastAsia="仿宋_GB2312"/>
          <w:sz w:val="32"/>
          <w:szCs w:val="32"/>
          <w:highlight w:val="none"/>
        </w:rPr>
      </w:pPr>
      <w:r>
        <w:rPr>
          <w:rFonts w:eastAsia="仿宋_GB2312"/>
          <w:b/>
          <w:bCs/>
          <w:color w:val="000000"/>
          <w:sz w:val="32"/>
          <w:szCs w:val="32"/>
          <w:highlight w:val="none"/>
        </w:rPr>
        <w:t>长三角一体化发展，赋予昆山制造业发展新使命。</w:t>
      </w:r>
      <w:r>
        <w:rPr>
          <w:rFonts w:eastAsia="仿宋_GB2312"/>
          <w:sz w:val="32"/>
          <w:szCs w:val="32"/>
          <w:highlight w:val="none"/>
        </w:rPr>
        <w:t>长江经济带发展、长三角一体化等一系列国家重大战略为昆山制造业发展带来新机遇。昆山将积极响应沪苏融合发展号召，当好沪苏融合发展行动先锋</w:t>
      </w:r>
      <w:r>
        <w:rPr>
          <w:rFonts w:eastAsia="仿宋_GB2312"/>
          <w:color w:val="000000"/>
          <w:sz w:val="32"/>
          <w:szCs w:val="32"/>
          <w:highlight w:val="none"/>
        </w:rPr>
        <w:t>，深入参与虹桥国际开放枢纽北向拓展带建设，</w:t>
      </w:r>
      <w:r>
        <w:rPr>
          <w:rFonts w:eastAsia="仿宋_GB2312"/>
          <w:sz w:val="32"/>
          <w:szCs w:val="32"/>
          <w:highlight w:val="none"/>
        </w:rPr>
        <w:t>全方位深层次融入长三角一体化发展，让新时代“昆山之路”越走越宽广。</w:t>
      </w:r>
    </w:p>
    <w:p>
      <w:pPr>
        <w:pStyle w:val="4"/>
        <w:spacing w:line="600" w:lineRule="exact"/>
        <w:ind w:firstLine="643" w:firstLineChars="200"/>
        <w:outlineLvl w:val="2"/>
        <w:rPr>
          <w:rFonts w:eastAsia="楷体_GB2312"/>
          <w:b/>
          <w:bCs/>
          <w:sz w:val="32"/>
          <w:szCs w:val="32"/>
          <w:highlight w:val="none"/>
        </w:rPr>
      </w:pPr>
      <w:r>
        <w:rPr>
          <w:rFonts w:eastAsia="楷体_GB2312"/>
          <w:b/>
          <w:bCs/>
          <w:sz w:val="32"/>
          <w:szCs w:val="32"/>
          <w:highlight w:val="none"/>
        </w:rPr>
        <w:t>2、挑战</w:t>
      </w:r>
    </w:p>
    <w:p>
      <w:pPr>
        <w:spacing w:line="600" w:lineRule="exact"/>
        <w:ind w:firstLine="643" w:firstLineChars="200"/>
        <w:rPr>
          <w:rFonts w:eastAsia="仿宋_GB2312"/>
          <w:sz w:val="32"/>
          <w:szCs w:val="32"/>
          <w:highlight w:val="none"/>
        </w:rPr>
      </w:pPr>
      <w:r>
        <w:rPr>
          <w:rFonts w:eastAsia="仿宋_GB2312"/>
          <w:b/>
          <w:bCs/>
          <w:color w:val="000000"/>
          <w:sz w:val="32"/>
          <w:szCs w:val="32"/>
          <w:highlight w:val="none"/>
        </w:rPr>
        <w:t>国际环境日趋复杂多变，为昆山制造业高质量发展带来新挑战。</w:t>
      </w:r>
      <w:r>
        <w:rPr>
          <w:rFonts w:eastAsia="仿宋_GB2312"/>
          <w:sz w:val="32"/>
          <w:szCs w:val="32"/>
          <w:highlight w:val="none"/>
        </w:rPr>
        <w:t>世界经济低迷，</w:t>
      </w:r>
      <w:r>
        <w:rPr>
          <w:rFonts w:eastAsia="仿宋_GB2312"/>
          <w:color w:val="000000"/>
          <w:sz w:val="32"/>
          <w:szCs w:val="32"/>
          <w:highlight w:val="none"/>
        </w:rPr>
        <w:t>经济全球化遭遇逆流</w:t>
      </w:r>
      <w:r>
        <w:rPr>
          <w:rFonts w:eastAsia="仿宋_GB2312"/>
          <w:sz w:val="32"/>
          <w:szCs w:val="32"/>
          <w:highlight w:val="none"/>
        </w:rPr>
        <w:t>，不稳定性不确定性明显增加。国际制造业分工格局深刻调整，发达国家纷纷出台“再工业化”政策，在关键核心领域对我国制造业发展限制升级；</w:t>
      </w:r>
      <w:r>
        <w:rPr>
          <w:rFonts w:eastAsia="仿宋_GB2312"/>
          <w:color w:val="000000"/>
          <w:sz w:val="32"/>
          <w:szCs w:val="32"/>
          <w:highlight w:val="none"/>
        </w:rPr>
        <w:t>新兴经济体利用劳动力等要素成本优势</w:t>
      </w:r>
      <w:r>
        <w:rPr>
          <w:rFonts w:eastAsia="仿宋_GB2312"/>
          <w:sz w:val="32"/>
          <w:szCs w:val="32"/>
          <w:highlight w:val="none"/>
        </w:rPr>
        <w:t>承接中低端制造转移。昆山外向型经济依存度较高，易受国际环境波动影响，需要加强产业基础高级化和产业链现代化建设，保障产业链供应链安全，提升制造业国际竞争力。</w:t>
      </w:r>
    </w:p>
    <w:p>
      <w:pPr>
        <w:spacing w:line="600" w:lineRule="exact"/>
        <w:ind w:firstLine="643" w:firstLineChars="200"/>
        <w:rPr>
          <w:rFonts w:eastAsia="仿宋_GB2312"/>
          <w:sz w:val="32"/>
          <w:szCs w:val="32"/>
          <w:highlight w:val="none"/>
        </w:rPr>
      </w:pPr>
      <w:r>
        <w:rPr>
          <w:rFonts w:eastAsia="仿宋_GB2312"/>
          <w:b/>
          <w:bCs/>
          <w:color w:val="000000"/>
          <w:sz w:val="32"/>
          <w:szCs w:val="32"/>
          <w:highlight w:val="none"/>
        </w:rPr>
        <w:t>资源能耗约束趋紧，对昆山制造业发展方式提出更高要求。</w:t>
      </w:r>
      <w:r>
        <w:rPr>
          <w:rFonts w:eastAsia="仿宋_GB2312"/>
          <w:sz w:val="32"/>
          <w:szCs w:val="32"/>
          <w:highlight w:val="none"/>
        </w:rPr>
        <w:t>实行能源消费强度和总量双控是推动高质</w:t>
      </w:r>
      <w:r>
        <w:rPr>
          <w:rFonts w:eastAsia="仿宋_GB2312"/>
          <w:color w:val="000000"/>
          <w:sz w:val="32"/>
          <w:szCs w:val="32"/>
          <w:highlight w:val="none"/>
        </w:rPr>
        <w:t>量发展的重要制度性安排，是推动实现碳达峰、碳中和目标的重要抓手。当前昆山能耗考核基数偏小，节能降耗空间缩小，低碳发展仍需加力。昆山土地开发强度较高，</w:t>
      </w:r>
      <w:r>
        <w:rPr>
          <w:rFonts w:eastAsia="仿宋_GB2312"/>
          <w:sz w:val="32"/>
          <w:szCs w:val="32"/>
          <w:highlight w:val="none"/>
        </w:rPr>
        <w:t>存量土地利用效率较低</w:t>
      </w:r>
      <w:r>
        <w:rPr>
          <w:rFonts w:eastAsia="仿宋_GB2312"/>
          <w:color w:val="000000"/>
          <w:sz w:val="32"/>
          <w:szCs w:val="32"/>
          <w:highlight w:val="none"/>
        </w:rPr>
        <w:t>，盘活成本较高，制造业</w:t>
      </w:r>
      <w:r>
        <w:rPr>
          <w:rFonts w:eastAsia="仿宋_GB2312"/>
          <w:sz w:val="32"/>
          <w:szCs w:val="32"/>
          <w:highlight w:val="none"/>
        </w:rPr>
        <w:t>用地供给紧张</w:t>
      </w:r>
      <w:r>
        <w:rPr>
          <w:rFonts w:eastAsia="仿宋_GB2312"/>
          <w:color w:val="000000"/>
          <w:sz w:val="32"/>
          <w:szCs w:val="32"/>
          <w:highlight w:val="none"/>
        </w:rPr>
        <w:t>。随着环太湖流域环保标准进一步提高</w:t>
      </w:r>
      <w:r>
        <w:rPr>
          <w:rFonts w:eastAsia="仿宋_GB2312"/>
          <w:sz w:val="32"/>
          <w:szCs w:val="32"/>
          <w:highlight w:val="none"/>
        </w:rPr>
        <w:t>，项目落地门槛也相应提升。</w:t>
      </w:r>
      <w:r>
        <w:rPr>
          <w:rFonts w:eastAsia="仿宋_GB2312"/>
          <w:color w:val="000000"/>
          <w:sz w:val="32"/>
          <w:szCs w:val="32"/>
          <w:highlight w:val="none"/>
        </w:rPr>
        <w:t>昆山</w:t>
      </w:r>
      <w:r>
        <w:rPr>
          <w:rFonts w:eastAsia="仿宋_GB2312"/>
          <w:sz w:val="32"/>
          <w:szCs w:val="32"/>
          <w:highlight w:val="none"/>
        </w:rPr>
        <w:t>需要加快产业结构优化升级，深化资源集约利用，构建绿色制造体系，有效突破资源能耗约束，进一步推进制造业绿色低碳发展。</w:t>
      </w:r>
    </w:p>
    <w:p>
      <w:pPr>
        <w:spacing w:line="600" w:lineRule="exact"/>
        <w:ind w:firstLine="643" w:firstLineChars="200"/>
        <w:rPr>
          <w:rFonts w:eastAsia="仿宋_GB2312"/>
          <w:sz w:val="32"/>
          <w:szCs w:val="32"/>
          <w:highlight w:val="none"/>
        </w:rPr>
      </w:pPr>
      <w:r>
        <w:rPr>
          <w:rFonts w:eastAsia="仿宋_GB2312"/>
          <w:b/>
          <w:bCs/>
          <w:color w:val="000000"/>
          <w:sz w:val="32"/>
          <w:szCs w:val="32"/>
          <w:highlight w:val="none"/>
        </w:rPr>
        <w:t>区域间产业资源的激烈竞争，给昆山制造业转型发展带来新压力。</w:t>
      </w:r>
      <w:r>
        <w:rPr>
          <w:rFonts w:eastAsia="仿宋_GB2312"/>
          <w:sz w:val="32"/>
          <w:szCs w:val="32"/>
          <w:highlight w:val="none"/>
        </w:rPr>
        <w:t>周边地区在战略性新兴产业、高新技术产业的布局存在一定趋同性，在高端人才、重大项目、创新载体、产业资本等方面竞争激烈，在承接上海产业转移上政策更积极。同时周边大城市对高端资源，特别是高端人才的虹吸效应更加明显。这对昆山制造业转型升级带来同质竞争和虹吸效应双重竞争压力。昆山需要对标先进，实施更为开放、更为有效的科创、人才和招商政策，集聚高端资源，加快实现新旧动能转换。</w:t>
      </w:r>
    </w:p>
    <w:p>
      <w:pPr>
        <w:pStyle w:val="4"/>
        <w:spacing w:line="600" w:lineRule="exact"/>
        <w:ind w:firstLine="640" w:firstLineChars="200"/>
        <w:outlineLvl w:val="0"/>
        <w:rPr>
          <w:sz w:val="32"/>
          <w:szCs w:val="32"/>
          <w:highlight w:val="none"/>
        </w:rPr>
      </w:pPr>
      <w:bookmarkStart w:id="104" w:name="_Toc32517"/>
      <w:bookmarkStart w:id="105" w:name="_Toc8269"/>
      <w:bookmarkStart w:id="106" w:name="_Toc3857"/>
      <w:bookmarkStart w:id="107" w:name="_Toc84829656"/>
      <w:bookmarkStart w:id="108" w:name="_Toc24443"/>
      <w:bookmarkStart w:id="109" w:name="_Toc8829"/>
      <w:bookmarkStart w:id="110" w:name="_Toc25279"/>
      <w:bookmarkStart w:id="111" w:name="_Toc26012"/>
      <w:bookmarkStart w:id="112" w:name="_Toc8664"/>
      <w:bookmarkStart w:id="113" w:name="_Toc13441"/>
      <w:bookmarkStart w:id="114" w:name="_Toc23274"/>
      <w:bookmarkStart w:id="115" w:name="_Toc8358"/>
      <w:bookmarkStart w:id="116" w:name="_Toc31002"/>
      <w:bookmarkStart w:id="117" w:name="_Toc25838"/>
      <w:bookmarkStart w:id="118" w:name="_Toc81518446"/>
      <w:bookmarkStart w:id="119" w:name="_Toc19772"/>
      <w:bookmarkStart w:id="120" w:name="_Toc29582"/>
      <w:bookmarkStart w:id="121" w:name="_Toc24956"/>
      <w:bookmarkStart w:id="122" w:name="_Toc88424323"/>
      <w:bookmarkStart w:id="123" w:name="_Toc8423"/>
      <w:bookmarkStart w:id="124" w:name="_Toc56776838"/>
      <w:bookmarkStart w:id="125" w:name="_Toc13105"/>
      <w:bookmarkStart w:id="126" w:name="_Toc78802161"/>
      <w:bookmarkStart w:id="127" w:name="_Toc10501"/>
      <w:bookmarkStart w:id="128" w:name="_Toc27162"/>
      <w:bookmarkStart w:id="129" w:name="_Toc32389"/>
      <w:bookmarkStart w:id="130" w:name="_Toc20290"/>
      <w:r>
        <w:rPr>
          <w:rFonts w:eastAsia="黑体"/>
          <w:sz w:val="32"/>
          <w:szCs w:val="32"/>
          <w:highlight w:val="none"/>
        </w:rPr>
        <w:t>二、总体思路</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4"/>
        <w:spacing w:line="600" w:lineRule="exact"/>
        <w:ind w:firstLine="643" w:firstLineChars="200"/>
        <w:outlineLvl w:val="1"/>
        <w:rPr>
          <w:rFonts w:eastAsia="楷体_GB2312"/>
          <w:b/>
          <w:bCs/>
          <w:color w:val="000000"/>
          <w:kern w:val="0"/>
          <w:sz w:val="32"/>
          <w:szCs w:val="32"/>
          <w:highlight w:val="none"/>
        </w:rPr>
      </w:pPr>
      <w:bookmarkStart w:id="131" w:name="_Toc25174"/>
      <w:bookmarkStart w:id="132" w:name="_Toc81518447"/>
      <w:bookmarkStart w:id="133" w:name="_Toc3765"/>
      <w:bookmarkStart w:id="134" w:name="_Toc78802162"/>
      <w:bookmarkStart w:id="135" w:name="_Toc19913"/>
      <w:bookmarkStart w:id="136" w:name="_Toc18287"/>
      <w:bookmarkStart w:id="137" w:name="_Toc21069"/>
      <w:bookmarkStart w:id="138" w:name="_Toc5532"/>
      <w:bookmarkStart w:id="139" w:name="_Toc28959"/>
      <w:bookmarkStart w:id="140" w:name="_Toc2614"/>
      <w:bookmarkStart w:id="141" w:name="_Toc84829657"/>
      <w:bookmarkStart w:id="142" w:name="_Toc23671"/>
      <w:bookmarkStart w:id="143" w:name="_Toc22022"/>
      <w:bookmarkStart w:id="144" w:name="_Toc25157"/>
      <w:bookmarkStart w:id="145" w:name="_Toc5088"/>
      <w:bookmarkStart w:id="146" w:name="_Toc28703"/>
      <w:bookmarkStart w:id="147" w:name="_Toc21264"/>
      <w:bookmarkStart w:id="148" w:name="_Toc31515"/>
      <w:bookmarkStart w:id="149" w:name="_Toc88424324"/>
      <w:bookmarkStart w:id="150" w:name="_Toc56776839"/>
      <w:bookmarkStart w:id="151" w:name="_Toc8137"/>
      <w:bookmarkStart w:id="152" w:name="_Toc335"/>
      <w:bookmarkStart w:id="153" w:name="_Toc21879"/>
      <w:bookmarkStart w:id="154" w:name="_Toc21536"/>
      <w:bookmarkStart w:id="155" w:name="_Toc19385"/>
      <w:bookmarkStart w:id="156" w:name="_Toc19816"/>
      <w:bookmarkStart w:id="157" w:name="_Toc22807"/>
      <w:r>
        <w:rPr>
          <w:rFonts w:eastAsia="楷体_GB2312"/>
          <w:b/>
          <w:bCs/>
          <w:color w:val="000000"/>
          <w:kern w:val="0"/>
          <w:sz w:val="32"/>
          <w:szCs w:val="32"/>
          <w:highlight w:val="none"/>
        </w:rPr>
        <w:t>（一）指导思想</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spacing w:line="600" w:lineRule="exact"/>
        <w:ind w:firstLine="640" w:firstLineChars="200"/>
        <w:rPr>
          <w:rFonts w:eastAsia="仿宋_GB2312"/>
          <w:color w:val="000000"/>
          <w:sz w:val="32"/>
          <w:szCs w:val="32"/>
          <w:highlight w:val="none"/>
        </w:rPr>
      </w:pPr>
      <w:r>
        <w:rPr>
          <w:rFonts w:eastAsia="仿宋_GB2312"/>
          <w:color w:val="000000"/>
          <w:sz w:val="32"/>
          <w:szCs w:val="32"/>
          <w:highlight w:val="none"/>
        </w:rPr>
        <w:t>以习近平新时代中国特色社会主义思想为指导，深入贯彻党的十九大、二十大精神，全面落实习近平总书记对江苏工作重要指示精神，坚决践行“争当表率、争做示范、走在前列”重大使命，立足新发展阶段，贯彻新发展理念，构建新发展格局，紧扣“高质量发展”“集聚新动能”两条主线，瞄准高水平构建产业创新集群这一主攻方向，围绕电子信息、装备制造两大主导产业，重点布局新显示、新智造、新医疗、新能源、新材料、新数字6个战略性新兴产业，加快形成</w:t>
      </w:r>
      <w:r>
        <w:rPr>
          <w:rFonts w:eastAsia="仿宋_GB2312"/>
          <w:sz w:val="32"/>
          <w:szCs w:val="32"/>
          <w:highlight w:val="none"/>
        </w:rPr>
        <w:t>元宇宙、智能网联汽车</w:t>
      </w:r>
      <w:r>
        <w:rPr>
          <w:rFonts w:hint="eastAsia" w:eastAsia="仿宋_GB2312"/>
          <w:sz w:val="32"/>
          <w:szCs w:val="32"/>
          <w:highlight w:val="none"/>
        </w:rPr>
        <w:t>、人形机器人、</w:t>
      </w:r>
      <w:r>
        <w:rPr>
          <w:rFonts w:eastAsia="仿宋_GB2312"/>
          <w:sz w:val="32"/>
          <w:szCs w:val="32"/>
          <w:highlight w:val="none"/>
        </w:rPr>
        <w:t>增材制造</w:t>
      </w:r>
      <w:r>
        <w:rPr>
          <w:rFonts w:eastAsia="仿宋_GB2312"/>
          <w:color w:val="000000"/>
          <w:sz w:val="32"/>
          <w:szCs w:val="32"/>
          <w:highlight w:val="none"/>
        </w:rPr>
        <w:t>等一批先导产业，加快构筑“2+6+X”现代产业体系格局，努力打造特色鲜明、结构合理、链群完备的现代化产业体系，加快推动产业创新集群成为现代化产业体系的新支柱，形成具有国际竞争力和全球影响力的创新集群聚集地，全力建设深度融入长三角一体化发展，不断厚植临沪、对台合作新优势，推动昆山制造向昆山智造转型，为昆山建设“强富美高”新图景的社会主义现代化标杆城市提供坚实支撑。</w:t>
      </w:r>
    </w:p>
    <w:p>
      <w:pPr>
        <w:pStyle w:val="4"/>
        <w:spacing w:line="600" w:lineRule="exact"/>
        <w:ind w:firstLine="643" w:firstLineChars="200"/>
        <w:outlineLvl w:val="1"/>
        <w:rPr>
          <w:rFonts w:eastAsia="楷体_GB2312"/>
          <w:b/>
          <w:bCs/>
          <w:color w:val="000000"/>
          <w:kern w:val="0"/>
          <w:sz w:val="32"/>
          <w:szCs w:val="32"/>
          <w:highlight w:val="none"/>
        </w:rPr>
      </w:pPr>
      <w:bookmarkStart w:id="158" w:name="_Toc2697"/>
      <w:bookmarkStart w:id="159" w:name="_Toc7847"/>
      <w:bookmarkStart w:id="160" w:name="_Toc14497"/>
      <w:bookmarkStart w:id="161" w:name="_Toc32179"/>
      <w:bookmarkStart w:id="162" w:name="_Toc20379"/>
      <w:bookmarkStart w:id="163" w:name="_Toc10519"/>
      <w:bookmarkStart w:id="164" w:name="_Toc84829658"/>
      <w:bookmarkStart w:id="165" w:name="_Toc32127"/>
      <w:bookmarkStart w:id="166" w:name="_Toc12552"/>
      <w:bookmarkStart w:id="167" w:name="_Toc9845"/>
      <w:bookmarkStart w:id="168" w:name="_Toc88424325"/>
      <w:bookmarkStart w:id="169" w:name="_Toc6814"/>
      <w:bookmarkStart w:id="170" w:name="_Toc13482"/>
      <w:bookmarkStart w:id="171" w:name="_Toc25048"/>
      <w:bookmarkStart w:id="172" w:name="_Toc6223"/>
      <w:bookmarkStart w:id="173" w:name="_Toc78802163"/>
      <w:bookmarkStart w:id="174" w:name="_Toc81518448"/>
      <w:bookmarkStart w:id="175" w:name="_Toc28510"/>
      <w:r>
        <w:rPr>
          <w:rFonts w:eastAsia="楷体_GB2312"/>
          <w:b/>
          <w:bCs/>
          <w:color w:val="000000"/>
          <w:kern w:val="0"/>
          <w:sz w:val="32"/>
          <w:szCs w:val="32"/>
          <w:highlight w:val="none"/>
        </w:rPr>
        <w:t>（二）基本原则</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创新引领，转型升级。</w:t>
      </w:r>
      <w:r>
        <w:rPr>
          <w:rFonts w:eastAsia="仿宋_GB2312"/>
          <w:sz w:val="32"/>
          <w:szCs w:val="32"/>
          <w:highlight w:val="none"/>
        </w:rPr>
        <w:t>坚持自主创新和开放创新相结合，集聚高端创新资源，加强关键核心技术攻关，加快创新成果产业化步伐，提高自主可控水平，着力培育新兴产业和高新技术产业，加快新旧动能转换，推动制造业转型升级。</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市场主导，政府引导。</w:t>
      </w:r>
      <w:r>
        <w:rPr>
          <w:rFonts w:eastAsia="仿宋_GB2312"/>
          <w:sz w:val="32"/>
          <w:szCs w:val="32"/>
          <w:highlight w:val="none"/>
        </w:rPr>
        <w:t>全面深化改革，探索构建更加完善的要素市场化配置机制，强化企业市场主体地位，激发企业内生动力，通过制度创新、流程再造、优化服务和强化监管，提升政府精准治理和服务能力，营造一流的法治化、国际化营商环境。</w:t>
      </w:r>
    </w:p>
    <w:p>
      <w:pPr>
        <w:pStyle w:val="4"/>
        <w:spacing w:line="600" w:lineRule="exact"/>
        <w:ind w:firstLine="643" w:firstLineChars="200"/>
        <w:rPr>
          <w:rFonts w:eastAsia="仿宋_GB2312"/>
          <w:color w:val="000000"/>
          <w:sz w:val="32"/>
          <w:szCs w:val="32"/>
          <w:highlight w:val="none"/>
        </w:rPr>
      </w:pPr>
      <w:r>
        <w:rPr>
          <w:rFonts w:eastAsia="仿宋_GB2312"/>
          <w:b/>
          <w:bCs/>
          <w:sz w:val="32"/>
          <w:szCs w:val="32"/>
          <w:highlight w:val="none"/>
        </w:rPr>
        <w:t>跨界融合，融通发展。</w:t>
      </w:r>
      <w:r>
        <w:rPr>
          <w:rFonts w:eastAsia="仿宋_GB2312"/>
          <w:color w:val="000000"/>
          <w:sz w:val="32"/>
          <w:szCs w:val="32"/>
          <w:highlight w:val="none"/>
        </w:rPr>
        <w:t>加快新一代信息技术与制造业深度融合，促进先进制造业与现代服务业融合发展，推进数字产业化和产业数字化，全面推广智能制造，加快智能化改造和数字化转型，培育壮大新业态新模式。</w:t>
      </w:r>
    </w:p>
    <w:p>
      <w:pPr>
        <w:pStyle w:val="4"/>
        <w:spacing w:line="600" w:lineRule="exact"/>
        <w:ind w:firstLine="643" w:firstLineChars="200"/>
        <w:rPr>
          <w:rFonts w:eastAsia="仿宋_GB2312"/>
          <w:color w:val="000000"/>
          <w:sz w:val="32"/>
          <w:szCs w:val="32"/>
          <w:highlight w:val="none"/>
        </w:rPr>
      </w:pPr>
      <w:r>
        <w:rPr>
          <w:rFonts w:eastAsia="仿宋_GB2312"/>
          <w:b/>
          <w:bCs/>
          <w:color w:val="000000"/>
          <w:sz w:val="32"/>
          <w:szCs w:val="32"/>
          <w:highlight w:val="none"/>
        </w:rPr>
        <w:t>绿色低碳，生态友好。</w:t>
      </w:r>
      <w:r>
        <w:rPr>
          <w:rFonts w:eastAsia="仿宋_GB2312"/>
          <w:color w:val="000000"/>
          <w:sz w:val="32"/>
          <w:szCs w:val="32"/>
          <w:highlight w:val="none"/>
        </w:rPr>
        <w:t>扎实做好“碳达峰、碳中和”工作，加强资源集约利用，加快绿色制造体系建设，推广节能环保技术应用，提高能源利用效率，推动绿色低碳循环可持续发展。</w:t>
      </w:r>
    </w:p>
    <w:p>
      <w:pPr>
        <w:pStyle w:val="4"/>
        <w:spacing w:line="600" w:lineRule="exact"/>
        <w:ind w:firstLine="643" w:firstLineChars="200"/>
        <w:rPr>
          <w:rFonts w:eastAsia="仿宋_GB2312"/>
          <w:sz w:val="32"/>
          <w:szCs w:val="32"/>
          <w:highlight w:val="none"/>
        </w:rPr>
      </w:pPr>
      <w:r>
        <w:rPr>
          <w:rFonts w:eastAsia="仿宋_GB2312"/>
          <w:b/>
          <w:bCs/>
          <w:color w:val="000000"/>
          <w:sz w:val="32"/>
          <w:szCs w:val="32"/>
          <w:highlight w:val="none"/>
        </w:rPr>
        <w:t>区域协同，开放合作。</w:t>
      </w:r>
      <w:r>
        <w:rPr>
          <w:rFonts w:eastAsia="仿宋_GB2312"/>
          <w:sz w:val="32"/>
          <w:szCs w:val="32"/>
          <w:highlight w:val="none"/>
        </w:rPr>
        <w:t>厚植临沪对台合作新优势，全面融入长三角一体化发展，促进昆台产业深度融合，加快昆山深化两岸产业合作试验区建设，加大对欧美日韩招商力度，支持企业海外投资布局，深度参与国际产业链分工，积极融入“双循环”新发展格局。</w:t>
      </w:r>
    </w:p>
    <w:bookmarkEnd w:id="175"/>
    <w:p>
      <w:pPr>
        <w:pStyle w:val="4"/>
        <w:spacing w:line="600" w:lineRule="exact"/>
        <w:ind w:firstLine="643" w:firstLineChars="200"/>
        <w:outlineLvl w:val="1"/>
        <w:rPr>
          <w:rFonts w:eastAsia="楷体_GB2312"/>
          <w:b/>
          <w:bCs/>
          <w:color w:val="000000"/>
          <w:kern w:val="0"/>
          <w:sz w:val="32"/>
          <w:szCs w:val="32"/>
          <w:highlight w:val="none"/>
        </w:rPr>
      </w:pPr>
      <w:bookmarkStart w:id="176" w:name="_Toc17234"/>
      <w:bookmarkStart w:id="177" w:name="_Toc4861"/>
      <w:bookmarkStart w:id="178" w:name="_Toc88424326"/>
      <w:bookmarkStart w:id="179" w:name="_Toc81518449"/>
      <w:bookmarkStart w:id="180" w:name="_Toc56776842"/>
      <w:bookmarkStart w:id="181" w:name="_Toc31899"/>
      <w:bookmarkStart w:id="182" w:name="_Toc13761"/>
      <w:bookmarkStart w:id="183" w:name="_Toc17418"/>
      <w:bookmarkStart w:id="184" w:name="_Toc17749"/>
      <w:bookmarkStart w:id="185" w:name="_Toc78802165"/>
      <w:bookmarkStart w:id="186" w:name="_Toc13165"/>
      <w:bookmarkStart w:id="187" w:name="_Toc84829659"/>
      <w:bookmarkStart w:id="188" w:name="_Toc4736"/>
      <w:bookmarkStart w:id="189" w:name="_Toc11410"/>
      <w:bookmarkStart w:id="190" w:name="_Toc32686"/>
      <w:bookmarkStart w:id="191" w:name="_Toc19980"/>
      <w:bookmarkStart w:id="192" w:name="_Toc8052"/>
      <w:bookmarkStart w:id="193" w:name="_Toc12165"/>
      <w:bookmarkStart w:id="194" w:name="_Toc10348"/>
      <w:bookmarkStart w:id="195" w:name="_Toc3982"/>
      <w:bookmarkStart w:id="196" w:name="_Toc20292"/>
      <w:bookmarkStart w:id="197" w:name="_Toc9590"/>
      <w:bookmarkStart w:id="198" w:name="_Toc17886"/>
      <w:bookmarkStart w:id="199" w:name="_Toc6545"/>
      <w:bookmarkStart w:id="200" w:name="_Toc18897"/>
      <w:bookmarkStart w:id="201" w:name="_Toc15532"/>
      <w:bookmarkStart w:id="202" w:name="_Toc6203"/>
      <w:r>
        <w:rPr>
          <w:rFonts w:eastAsia="楷体_GB2312"/>
          <w:b/>
          <w:bCs/>
          <w:color w:val="000000"/>
          <w:kern w:val="0"/>
          <w:sz w:val="32"/>
          <w:szCs w:val="32"/>
          <w:highlight w:val="none"/>
        </w:rPr>
        <w:t>（三）发展目标</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4"/>
        <w:spacing w:line="600" w:lineRule="exact"/>
        <w:ind w:firstLine="640" w:firstLineChars="200"/>
        <w:rPr>
          <w:rFonts w:eastAsia="仿宋_GB2312"/>
          <w:color w:val="000000"/>
          <w:sz w:val="32"/>
          <w:szCs w:val="32"/>
          <w:highlight w:val="none"/>
        </w:rPr>
      </w:pPr>
      <w:r>
        <w:rPr>
          <w:rFonts w:eastAsia="仿宋_GB2312"/>
          <w:color w:val="000000"/>
          <w:sz w:val="32"/>
          <w:szCs w:val="32"/>
          <w:highlight w:val="none"/>
        </w:rPr>
        <w:t>到“十四五”末，昆山制造业在县域经济中保持领先地位，产业结构更加优化，自主创新能力显著增强，优质企业群和高层次人才队伍加速集聚，智能化改造和数字化转型取得显著成效，绿色低碳循环发展体系初步建成，临沪对台桥头堡优势进一步增强，以强链、固链、补链打造产业创新集群，形成具有昆山鲜明标识的产业“高原”，打造具备全球竞争优势的产业“高峰”，构建专业特色明显、承载能力强劲、创新驱动有力的产业创新集群，以创新集群引领产业转型升级，全面提升产业层次和竞争力，推动“昆山制造”向全球产业链价值链高端迈进，形成制造业高质量发展、高水平合作的新格局，率先建成长三角制造业高水平开放合作先行地，全力形成全国重要的产业创新集群聚集地，努力打造具有国际竞争力的先进制造业高地。</w:t>
      </w:r>
    </w:p>
    <w:p>
      <w:pPr>
        <w:pStyle w:val="4"/>
        <w:spacing w:line="600" w:lineRule="exact"/>
        <w:ind w:firstLine="643" w:firstLineChars="200"/>
        <w:rPr>
          <w:rFonts w:eastAsia="仿宋_GB2312"/>
          <w:b/>
          <w:bCs/>
          <w:color w:val="000000"/>
          <w:kern w:val="0"/>
          <w:sz w:val="32"/>
          <w:szCs w:val="32"/>
          <w:highlight w:val="none"/>
        </w:rPr>
      </w:pPr>
      <w:r>
        <w:rPr>
          <w:rFonts w:eastAsia="仿宋_GB2312"/>
          <w:b/>
          <w:bCs/>
          <w:color w:val="000000"/>
          <w:kern w:val="0"/>
          <w:sz w:val="32"/>
          <w:szCs w:val="32"/>
          <w:highlight w:val="none"/>
        </w:rPr>
        <w:t>规模质效迈向新台阶。</w:t>
      </w:r>
      <w:r>
        <w:rPr>
          <w:rFonts w:eastAsia="仿宋_GB2312"/>
          <w:color w:val="000000"/>
          <w:sz w:val="32"/>
          <w:szCs w:val="32"/>
          <w:highlight w:val="none"/>
        </w:rPr>
        <w:t>到2025年，规上工业总产值突破12000亿元；制造业增加值占地区生产总值比重保持在45%以上，规上工业企业全员劳动生产率稳步提高。</w:t>
      </w:r>
    </w:p>
    <w:p>
      <w:pPr>
        <w:pStyle w:val="4"/>
        <w:spacing w:line="600" w:lineRule="exact"/>
        <w:ind w:firstLine="643" w:firstLineChars="200"/>
        <w:rPr>
          <w:rFonts w:eastAsia="仿宋_GB2312"/>
          <w:color w:val="000000"/>
          <w:sz w:val="32"/>
          <w:szCs w:val="32"/>
          <w:highlight w:val="none"/>
        </w:rPr>
      </w:pPr>
      <w:r>
        <w:rPr>
          <w:rFonts w:eastAsia="仿宋_GB2312"/>
          <w:b/>
          <w:bCs/>
          <w:color w:val="000000"/>
          <w:kern w:val="0"/>
          <w:sz w:val="32"/>
          <w:szCs w:val="32"/>
          <w:highlight w:val="none"/>
        </w:rPr>
        <w:t>结构优化取得新成就。</w:t>
      </w:r>
      <w:r>
        <w:rPr>
          <w:rFonts w:eastAsia="仿宋_GB2312"/>
          <w:color w:val="000000"/>
          <w:sz w:val="32"/>
          <w:szCs w:val="32"/>
          <w:highlight w:val="none"/>
        </w:rPr>
        <w:t>到2025年，现代产业体系基本形成，先进制造业集群竞争力显著增强，产业链现代化水平明显提高，战略性新兴产业产值占规上工业总产值比重56%以上，高新技术产业产值占规上工业总产值比重达52%。</w:t>
      </w:r>
    </w:p>
    <w:p>
      <w:pPr>
        <w:pStyle w:val="4"/>
        <w:spacing w:line="600" w:lineRule="exact"/>
        <w:ind w:firstLine="643" w:firstLineChars="200"/>
        <w:rPr>
          <w:rFonts w:eastAsia="仿宋_GB2312"/>
          <w:color w:val="000000"/>
          <w:sz w:val="32"/>
          <w:szCs w:val="32"/>
          <w:highlight w:val="none"/>
        </w:rPr>
      </w:pPr>
      <w:r>
        <w:rPr>
          <w:rFonts w:eastAsia="仿宋_GB2312"/>
          <w:b/>
          <w:bCs/>
          <w:color w:val="000000"/>
          <w:kern w:val="0"/>
          <w:sz w:val="32"/>
          <w:szCs w:val="32"/>
          <w:highlight w:val="none"/>
        </w:rPr>
        <w:t>创新发展实现新突破。</w:t>
      </w:r>
      <w:r>
        <w:rPr>
          <w:rFonts w:eastAsia="仿宋_GB2312"/>
          <w:color w:val="000000"/>
          <w:sz w:val="32"/>
          <w:szCs w:val="32"/>
          <w:highlight w:val="none"/>
        </w:rPr>
        <w:t>到2025年，企业创新主体地位更加突出，关键核心技术有重大突破，科技成果转移转化体系进一步完善，规上企业研发经费占主营业务收入比重达到</w:t>
      </w:r>
      <w:r>
        <w:rPr>
          <w:rFonts w:eastAsia="仿宋_GB2312"/>
          <w:sz w:val="32"/>
          <w:szCs w:val="32"/>
          <w:highlight w:val="none"/>
        </w:rPr>
        <w:t>2.0</w:t>
      </w:r>
      <w:r>
        <w:rPr>
          <w:rFonts w:eastAsia="仿宋_GB2312"/>
          <w:color w:val="000000"/>
          <w:sz w:val="32"/>
          <w:szCs w:val="32"/>
          <w:highlight w:val="none"/>
        </w:rPr>
        <w:t>%，有效高新技术企业累计超4000家，苏州市级及以上企业技术中心累计超600家。</w:t>
      </w:r>
    </w:p>
    <w:p>
      <w:pPr>
        <w:pStyle w:val="4"/>
        <w:spacing w:line="600" w:lineRule="exact"/>
        <w:ind w:firstLine="643" w:firstLineChars="200"/>
        <w:rPr>
          <w:rFonts w:eastAsia="仿宋_GB2312"/>
          <w:color w:val="000000"/>
          <w:sz w:val="32"/>
          <w:szCs w:val="32"/>
          <w:highlight w:val="none"/>
        </w:rPr>
      </w:pPr>
      <w:r>
        <w:rPr>
          <w:rFonts w:eastAsia="仿宋_GB2312"/>
          <w:b/>
          <w:bCs/>
          <w:color w:val="000000"/>
          <w:kern w:val="0"/>
          <w:sz w:val="32"/>
          <w:szCs w:val="32"/>
          <w:highlight w:val="none"/>
        </w:rPr>
        <w:t>数字转型催生新动力</w:t>
      </w:r>
      <w:r>
        <w:rPr>
          <w:rFonts w:eastAsia="仿宋_GB2312"/>
          <w:b/>
          <w:bCs/>
          <w:color w:val="000000"/>
          <w:sz w:val="32"/>
          <w:szCs w:val="32"/>
          <w:highlight w:val="none"/>
        </w:rPr>
        <w:t>。</w:t>
      </w:r>
      <w:r>
        <w:rPr>
          <w:rFonts w:eastAsia="仿宋_GB2312"/>
          <w:color w:val="000000"/>
          <w:sz w:val="32"/>
          <w:szCs w:val="32"/>
          <w:highlight w:val="none"/>
        </w:rPr>
        <w:t>到2025年，数字产业化和产业数字化发展取得新突破，规上企业工业智能化改造和数字化转型全覆盖，苏州市级及以上示范智能车间累计300家，国内一流智能制造示范区初步建成。</w:t>
      </w:r>
    </w:p>
    <w:p>
      <w:pPr>
        <w:pStyle w:val="4"/>
        <w:ind w:firstLine="643" w:firstLineChars="200"/>
        <w:rPr>
          <w:rFonts w:eastAsia="仿宋_GB2312"/>
          <w:color w:val="000000"/>
          <w:sz w:val="32"/>
          <w:szCs w:val="32"/>
          <w:highlight w:val="none"/>
        </w:rPr>
      </w:pPr>
      <w:r>
        <w:rPr>
          <w:rFonts w:eastAsia="仿宋_GB2312"/>
          <w:b/>
          <w:bCs/>
          <w:color w:val="000000"/>
          <w:kern w:val="0"/>
          <w:sz w:val="32"/>
          <w:szCs w:val="32"/>
          <w:highlight w:val="none"/>
        </w:rPr>
        <w:t>绿色发展取得新成效。</w:t>
      </w:r>
      <w:r>
        <w:rPr>
          <w:rFonts w:eastAsia="仿宋_GB2312"/>
          <w:color w:val="000000"/>
          <w:sz w:val="32"/>
          <w:szCs w:val="32"/>
          <w:highlight w:val="none"/>
        </w:rPr>
        <w:t>到2025年，资源能源利用效率进一步提升，绿色制造体系逐步完善，建成一批绿色工厂、绿色设计产品、绿色工业园区和绿色供应链管理企业，单位工业增加值能耗下降、单位工业增加值碳排放量下降均完成下达目标。</w:t>
      </w:r>
    </w:p>
    <w:p>
      <w:pPr>
        <w:spacing w:before="156" w:beforeLines="50"/>
        <w:ind w:firstLine="602"/>
        <w:jc w:val="center"/>
        <w:rPr>
          <w:b/>
          <w:bCs/>
          <w:sz w:val="28"/>
          <w:szCs w:val="28"/>
          <w:highlight w:val="none"/>
        </w:rPr>
      </w:pPr>
      <w:r>
        <w:rPr>
          <w:b/>
          <w:bCs/>
          <w:sz w:val="24"/>
          <w:highlight w:val="none"/>
        </w:rPr>
        <w:t>表</w:t>
      </w:r>
      <w:r>
        <w:rPr>
          <w:rFonts w:eastAsia="方正黑体_GBK"/>
          <w:b/>
          <w:bCs/>
          <w:sz w:val="24"/>
          <w:highlight w:val="none"/>
        </w:rPr>
        <w:t>1</w:t>
      </w:r>
      <w:r>
        <w:rPr>
          <w:b/>
          <w:bCs/>
          <w:sz w:val="24"/>
          <w:highlight w:val="none"/>
        </w:rPr>
        <w:t xml:space="preserve">  昆山市“十四五”时期制造业发展主要指标</w:t>
      </w:r>
    </w:p>
    <w:tbl>
      <w:tblPr>
        <w:tblStyle w:val="13"/>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20"/>
        <w:gridCol w:w="5052"/>
        <w:gridCol w:w="1817"/>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740" w:type="dxa"/>
            <w:vAlign w:val="center"/>
          </w:tcPr>
          <w:p>
            <w:pPr>
              <w:widowControl/>
              <w:spacing w:line="288" w:lineRule="auto"/>
              <w:jc w:val="center"/>
              <w:rPr>
                <w:b/>
                <w:szCs w:val="21"/>
                <w:highlight w:val="none"/>
              </w:rPr>
            </w:pPr>
            <w:r>
              <w:rPr>
                <w:b/>
                <w:szCs w:val="21"/>
                <w:highlight w:val="none"/>
              </w:rPr>
              <w:t>类别</w:t>
            </w:r>
          </w:p>
        </w:tc>
        <w:tc>
          <w:tcPr>
            <w:tcW w:w="820" w:type="dxa"/>
            <w:vAlign w:val="center"/>
          </w:tcPr>
          <w:p>
            <w:pPr>
              <w:widowControl/>
              <w:spacing w:line="288" w:lineRule="auto"/>
              <w:jc w:val="center"/>
              <w:rPr>
                <w:b/>
                <w:szCs w:val="21"/>
                <w:highlight w:val="none"/>
              </w:rPr>
            </w:pPr>
            <w:r>
              <w:rPr>
                <w:b/>
                <w:szCs w:val="21"/>
                <w:highlight w:val="none"/>
              </w:rPr>
              <w:t>序号</w:t>
            </w:r>
          </w:p>
        </w:tc>
        <w:tc>
          <w:tcPr>
            <w:tcW w:w="5052" w:type="dxa"/>
            <w:vAlign w:val="center"/>
          </w:tcPr>
          <w:p>
            <w:pPr>
              <w:widowControl/>
              <w:spacing w:line="288" w:lineRule="auto"/>
              <w:jc w:val="center"/>
              <w:rPr>
                <w:b/>
                <w:szCs w:val="21"/>
                <w:highlight w:val="none"/>
              </w:rPr>
            </w:pPr>
            <w:r>
              <w:rPr>
                <w:b/>
                <w:szCs w:val="21"/>
                <w:highlight w:val="none"/>
              </w:rPr>
              <w:t>指标</w:t>
            </w:r>
          </w:p>
        </w:tc>
        <w:tc>
          <w:tcPr>
            <w:tcW w:w="1817" w:type="dxa"/>
            <w:vAlign w:val="center"/>
          </w:tcPr>
          <w:p>
            <w:pPr>
              <w:widowControl/>
              <w:spacing w:line="320" w:lineRule="exact"/>
              <w:jc w:val="center"/>
              <w:rPr>
                <w:rFonts w:eastAsia="方正黑体_GBK"/>
                <w:b/>
                <w:szCs w:val="21"/>
                <w:highlight w:val="none"/>
              </w:rPr>
            </w:pPr>
            <w:r>
              <w:rPr>
                <w:rFonts w:eastAsia="方正黑体_GBK"/>
                <w:b/>
                <w:szCs w:val="21"/>
                <w:highlight w:val="none"/>
              </w:rPr>
              <w:t>2025</w:t>
            </w:r>
            <w:r>
              <w:rPr>
                <w:b/>
                <w:szCs w:val="21"/>
                <w:highlight w:val="none"/>
              </w:rPr>
              <w:t>年</w:t>
            </w:r>
          </w:p>
        </w:tc>
        <w:tc>
          <w:tcPr>
            <w:tcW w:w="1116" w:type="dxa"/>
            <w:vAlign w:val="center"/>
          </w:tcPr>
          <w:p>
            <w:pPr>
              <w:widowControl/>
              <w:spacing w:line="320" w:lineRule="exact"/>
              <w:jc w:val="center"/>
              <w:rPr>
                <w:b/>
                <w:szCs w:val="21"/>
                <w:highlight w:val="none"/>
              </w:rPr>
            </w:pPr>
            <w:r>
              <w:rPr>
                <w:b/>
                <w:szCs w:val="21"/>
                <w:highlight w:val="none"/>
              </w:rPr>
              <w:t>指标</w:t>
            </w:r>
          </w:p>
          <w:p>
            <w:pPr>
              <w:widowControl/>
              <w:spacing w:line="320" w:lineRule="exact"/>
              <w:jc w:val="center"/>
              <w:rPr>
                <w:bCs/>
                <w:szCs w:val="21"/>
                <w:highlight w:val="none"/>
              </w:rPr>
            </w:pPr>
            <w:r>
              <w:rPr>
                <w:b/>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restart"/>
            <w:vAlign w:val="center"/>
          </w:tcPr>
          <w:p>
            <w:pPr>
              <w:widowControl/>
              <w:spacing w:line="288" w:lineRule="auto"/>
              <w:jc w:val="center"/>
              <w:rPr>
                <w:b/>
                <w:bCs/>
                <w:szCs w:val="21"/>
                <w:highlight w:val="none"/>
              </w:rPr>
            </w:pPr>
            <w:r>
              <w:rPr>
                <w:b/>
                <w:bCs/>
                <w:szCs w:val="21"/>
                <w:highlight w:val="none"/>
              </w:rPr>
              <w:t>规模</w:t>
            </w:r>
          </w:p>
          <w:p>
            <w:pPr>
              <w:widowControl/>
              <w:jc w:val="center"/>
              <w:rPr>
                <w:b/>
                <w:bCs/>
                <w:szCs w:val="21"/>
                <w:highlight w:val="none"/>
              </w:rPr>
            </w:pPr>
            <w:r>
              <w:rPr>
                <w:b/>
                <w:bCs/>
                <w:szCs w:val="21"/>
                <w:highlight w:val="none"/>
              </w:rPr>
              <w:t>质效</w:t>
            </w:r>
          </w:p>
        </w:tc>
        <w:tc>
          <w:tcPr>
            <w:tcW w:w="820" w:type="dxa"/>
            <w:vAlign w:val="center"/>
          </w:tcPr>
          <w:p>
            <w:pPr>
              <w:widowControl/>
              <w:spacing w:line="288" w:lineRule="auto"/>
              <w:jc w:val="center"/>
              <w:rPr>
                <w:rFonts w:eastAsia="方正仿宋_GBK"/>
                <w:szCs w:val="21"/>
                <w:highlight w:val="none"/>
              </w:rPr>
            </w:pPr>
            <w:r>
              <w:rPr>
                <w:rFonts w:eastAsia="方正仿宋_GBK"/>
                <w:szCs w:val="21"/>
                <w:highlight w:val="none"/>
              </w:rPr>
              <w:t>1</w:t>
            </w:r>
          </w:p>
        </w:tc>
        <w:tc>
          <w:tcPr>
            <w:tcW w:w="5052" w:type="dxa"/>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规上工业总产值（亿元）</w:t>
            </w:r>
          </w:p>
        </w:tc>
        <w:tc>
          <w:tcPr>
            <w:tcW w:w="1817" w:type="dxa"/>
            <w:vAlign w:val="center"/>
          </w:tcPr>
          <w:p>
            <w:pPr>
              <w:widowControl/>
              <w:jc w:val="center"/>
              <w:textAlignment w:val="center"/>
              <w:rPr>
                <w:rFonts w:eastAsia="方正仿宋_GBK"/>
                <w:color w:val="000000"/>
                <w:szCs w:val="21"/>
                <w:highlight w:val="none"/>
              </w:rPr>
            </w:pPr>
            <w:r>
              <w:rPr>
                <w:color w:val="000000"/>
                <w:kern w:val="0"/>
                <w:szCs w:val="21"/>
                <w:highlight w:val="none"/>
              </w:rPr>
              <w:t>12000</w:t>
            </w:r>
          </w:p>
        </w:tc>
        <w:tc>
          <w:tcPr>
            <w:tcW w:w="1116" w:type="dxa"/>
            <w:vAlign w:val="center"/>
          </w:tcPr>
          <w:p>
            <w:pPr>
              <w:widowControl/>
              <w:spacing w:line="288" w:lineRule="auto"/>
              <w:jc w:val="center"/>
              <w:rPr>
                <w:color w:val="000000"/>
                <w:szCs w:val="21"/>
                <w:highlight w:val="none"/>
              </w:rPr>
            </w:pPr>
            <w:r>
              <w:rPr>
                <w:color w:val="00000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continue"/>
            <w:vAlign w:val="center"/>
          </w:tcPr>
          <w:p>
            <w:pPr>
              <w:widowControl/>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2</w:t>
            </w:r>
          </w:p>
        </w:tc>
        <w:tc>
          <w:tcPr>
            <w:tcW w:w="5052" w:type="dxa"/>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制造业增加值占GDP比重（%）</w:t>
            </w:r>
          </w:p>
        </w:tc>
        <w:tc>
          <w:tcPr>
            <w:tcW w:w="1817" w:type="dxa"/>
            <w:vAlign w:val="center"/>
          </w:tcPr>
          <w:p>
            <w:pPr>
              <w:widowControl/>
              <w:jc w:val="center"/>
              <w:textAlignment w:val="center"/>
              <w:rPr>
                <w:rFonts w:eastAsia="方正仿宋_GBK"/>
                <w:color w:val="000000"/>
                <w:szCs w:val="21"/>
                <w:highlight w:val="none"/>
              </w:rPr>
            </w:pPr>
            <w:r>
              <w:rPr>
                <w:color w:val="000000"/>
                <w:kern w:val="0"/>
                <w:szCs w:val="21"/>
                <w:highlight w:val="none"/>
              </w:rPr>
              <w:t>45</w:t>
            </w:r>
          </w:p>
        </w:tc>
        <w:tc>
          <w:tcPr>
            <w:tcW w:w="1116" w:type="dxa"/>
            <w:vAlign w:val="center"/>
          </w:tcPr>
          <w:p>
            <w:pPr>
              <w:widowControl/>
              <w:spacing w:line="288" w:lineRule="auto"/>
              <w:jc w:val="center"/>
              <w:rPr>
                <w:color w:val="000000"/>
                <w:szCs w:val="21"/>
                <w:highlight w:val="none"/>
              </w:rPr>
            </w:pPr>
            <w:r>
              <w:rPr>
                <w:color w:val="00000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continue"/>
            <w:tcBorders>
              <w:left w:val="single" w:color="auto" w:sz="4" w:space="0"/>
              <w:right w:val="single" w:color="auto" w:sz="4" w:space="0"/>
            </w:tcBorders>
            <w:vAlign w:val="center"/>
          </w:tcPr>
          <w:p>
            <w:pPr>
              <w:widowControl/>
              <w:jc w:val="center"/>
              <w:rPr>
                <w:b/>
                <w:bCs/>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szCs w:val="21"/>
                <w:highlight w:val="none"/>
              </w:rPr>
            </w:pPr>
            <w:r>
              <w:rPr>
                <w:rFonts w:eastAsia="方正仿宋_GBK"/>
                <w:szCs w:val="21"/>
                <w:highlight w:val="none"/>
              </w:rPr>
              <w:t>3</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规上工业企业全员劳动生产率（万元/人）</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color w:val="000000"/>
                <w:szCs w:val="21"/>
                <w:highlight w:val="none"/>
              </w:rPr>
            </w:pPr>
            <w:r>
              <w:rPr>
                <w:color w:val="000000"/>
                <w:kern w:val="0"/>
                <w:szCs w:val="21"/>
                <w:highlight w:val="none"/>
              </w:rPr>
              <w:t>35</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000000"/>
                <w:szCs w:val="21"/>
                <w:highlight w:val="none"/>
              </w:rPr>
            </w:pPr>
            <w:r>
              <w:rPr>
                <w:color w:val="00000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restart"/>
            <w:tcBorders>
              <w:left w:val="single" w:color="auto" w:sz="4" w:space="0"/>
              <w:right w:val="single" w:color="auto" w:sz="4" w:space="0"/>
            </w:tcBorders>
            <w:vAlign w:val="center"/>
          </w:tcPr>
          <w:p>
            <w:pPr>
              <w:widowControl/>
              <w:jc w:val="center"/>
              <w:rPr>
                <w:b/>
                <w:bCs/>
                <w:szCs w:val="21"/>
                <w:highlight w:val="none"/>
              </w:rPr>
            </w:pPr>
            <w:r>
              <w:rPr>
                <w:b/>
                <w:bCs/>
                <w:szCs w:val="21"/>
                <w:highlight w:val="none"/>
              </w:rPr>
              <w:t>结构优化</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szCs w:val="21"/>
                <w:highlight w:val="none"/>
              </w:rPr>
            </w:pPr>
            <w:r>
              <w:rPr>
                <w:rFonts w:eastAsia="方正仿宋_GBK"/>
                <w:szCs w:val="21"/>
                <w:highlight w:val="none"/>
              </w:rPr>
              <w:t>4</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战略性新兴产业产值占规上工业总产值比重（%）</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color w:val="000000"/>
                <w:szCs w:val="21"/>
                <w:highlight w:val="none"/>
              </w:rPr>
            </w:pPr>
            <w:r>
              <w:rPr>
                <w:color w:val="000000"/>
                <w:kern w:val="0"/>
                <w:szCs w:val="21"/>
                <w:highlight w:val="none"/>
              </w:rPr>
              <w:t>56</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continue"/>
            <w:tcBorders>
              <w:left w:val="single" w:color="auto" w:sz="4" w:space="0"/>
              <w:right w:val="single" w:color="auto" w:sz="4" w:space="0"/>
            </w:tcBorders>
            <w:vAlign w:val="center"/>
          </w:tcPr>
          <w:p>
            <w:pPr>
              <w:widowControl/>
              <w:jc w:val="center"/>
              <w:rPr>
                <w:b/>
                <w:bCs/>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szCs w:val="21"/>
                <w:highlight w:val="none"/>
              </w:rPr>
            </w:pPr>
            <w:r>
              <w:rPr>
                <w:rFonts w:eastAsia="方正仿宋_GBK"/>
                <w:szCs w:val="21"/>
                <w:highlight w:val="none"/>
              </w:rPr>
              <w:t>5</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高新技术产业产值占规上工业总产值比重（%）</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Cs w:val="21"/>
                <w:highlight w:val="none"/>
              </w:rPr>
            </w:pPr>
            <w:r>
              <w:rPr>
                <w:color w:val="000000"/>
                <w:kern w:val="0"/>
                <w:szCs w:val="21"/>
                <w:highlight w:val="none"/>
              </w:rPr>
              <w:t>52</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restart"/>
            <w:vAlign w:val="center"/>
          </w:tcPr>
          <w:p>
            <w:pPr>
              <w:widowControl/>
              <w:jc w:val="center"/>
              <w:rPr>
                <w:b/>
                <w:bCs/>
                <w:szCs w:val="21"/>
                <w:highlight w:val="none"/>
              </w:rPr>
            </w:pPr>
            <w:r>
              <w:rPr>
                <w:b/>
                <w:bCs/>
                <w:szCs w:val="21"/>
                <w:highlight w:val="none"/>
              </w:rPr>
              <w:t>创新发展</w:t>
            </w:r>
          </w:p>
        </w:tc>
        <w:tc>
          <w:tcPr>
            <w:tcW w:w="820" w:type="dxa"/>
            <w:vAlign w:val="center"/>
          </w:tcPr>
          <w:p>
            <w:pPr>
              <w:widowControl/>
              <w:jc w:val="center"/>
              <w:rPr>
                <w:rFonts w:eastAsia="方正仿宋_GBK"/>
                <w:szCs w:val="21"/>
                <w:highlight w:val="none"/>
              </w:rPr>
            </w:pPr>
            <w:r>
              <w:rPr>
                <w:rFonts w:eastAsia="方正仿宋_GBK"/>
                <w:szCs w:val="21"/>
                <w:highlight w:val="none"/>
              </w:rPr>
              <w:t>6</w:t>
            </w:r>
          </w:p>
        </w:tc>
        <w:tc>
          <w:tcPr>
            <w:tcW w:w="5052" w:type="dxa"/>
            <w:vAlign w:val="center"/>
          </w:tcPr>
          <w:p>
            <w:pPr>
              <w:widowControl/>
              <w:textAlignment w:val="center"/>
              <w:rPr>
                <w:highlight w:val="none"/>
              </w:rPr>
            </w:pPr>
            <w:r>
              <w:rPr>
                <w:highlight w:val="none"/>
              </w:rPr>
              <w:t>年新增高价值发明专利数（件）</w:t>
            </w:r>
          </w:p>
        </w:tc>
        <w:tc>
          <w:tcPr>
            <w:tcW w:w="1817" w:type="dxa"/>
            <w:vAlign w:val="center"/>
          </w:tcPr>
          <w:p>
            <w:pPr>
              <w:widowControl/>
              <w:jc w:val="center"/>
              <w:textAlignment w:val="center"/>
              <w:rPr>
                <w:rFonts w:eastAsia="方正仿宋_GBK"/>
                <w:color w:val="000000"/>
                <w:szCs w:val="21"/>
                <w:highlight w:val="none"/>
              </w:rPr>
            </w:pPr>
            <w:r>
              <w:rPr>
                <w:rFonts w:eastAsia="方正仿宋_GBK"/>
                <w:color w:val="000000"/>
                <w:kern w:val="0"/>
                <w:szCs w:val="21"/>
                <w:highlight w:val="none"/>
              </w:rPr>
              <w:t>600</w:t>
            </w:r>
          </w:p>
        </w:tc>
        <w:tc>
          <w:tcPr>
            <w:tcW w:w="1116" w:type="dxa"/>
            <w:vAlign w:val="center"/>
          </w:tcPr>
          <w:p>
            <w:pPr>
              <w:widowControl/>
              <w:spacing w:line="288" w:lineRule="auto"/>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continue"/>
            <w:vAlign w:val="center"/>
          </w:tcPr>
          <w:p>
            <w:pPr>
              <w:widowControl/>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7</w:t>
            </w:r>
          </w:p>
        </w:tc>
        <w:tc>
          <w:tcPr>
            <w:tcW w:w="5052" w:type="dxa"/>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规上工业企业研发经费占主营业务收入比重（%）</w:t>
            </w:r>
          </w:p>
        </w:tc>
        <w:tc>
          <w:tcPr>
            <w:tcW w:w="1817" w:type="dxa"/>
            <w:vAlign w:val="center"/>
          </w:tcPr>
          <w:p>
            <w:pPr>
              <w:widowControl/>
              <w:jc w:val="center"/>
              <w:textAlignment w:val="center"/>
              <w:rPr>
                <w:rFonts w:eastAsia="方正仿宋_GBK"/>
                <w:color w:val="000000"/>
                <w:szCs w:val="21"/>
                <w:highlight w:val="none"/>
              </w:rPr>
            </w:pPr>
            <w:r>
              <w:rPr>
                <w:color w:val="000000"/>
                <w:kern w:val="0"/>
                <w:szCs w:val="21"/>
                <w:highlight w:val="none"/>
              </w:rPr>
              <w:t>2.0</w:t>
            </w:r>
          </w:p>
        </w:tc>
        <w:tc>
          <w:tcPr>
            <w:tcW w:w="1116" w:type="dxa"/>
            <w:vAlign w:val="center"/>
          </w:tcPr>
          <w:p>
            <w:pPr>
              <w:widowControl/>
              <w:spacing w:line="288" w:lineRule="auto"/>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continue"/>
            <w:vAlign w:val="center"/>
          </w:tcPr>
          <w:p>
            <w:pPr>
              <w:widowControl/>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8</w:t>
            </w:r>
          </w:p>
        </w:tc>
        <w:tc>
          <w:tcPr>
            <w:tcW w:w="5052" w:type="dxa"/>
            <w:shd w:val="clear" w:color="auto" w:fill="auto"/>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累计高新技术企业数（家）</w:t>
            </w:r>
          </w:p>
        </w:tc>
        <w:tc>
          <w:tcPr>
            <w:tcW w:w="1817" w:type="dxa"/>
            <w:shd w:val="clear" w:color="auto" w:fill="auto"/>
            <w:vAlign w:val="center"/>
          </w:tcPr>
          <w:p>
            <w:pPr>
              <w:widowControl/>
              <w:jc w:val="center"/>
              <w:textAlignment w:val="center"/>
              <w:rPr>
                <w:color w:val="000000"/>
                <w:szCs w:val="21"/>
                <w:highlight w:val="none"/>
              </w:rPr>
            </w:pPr>
            <w:r>
              <w:rPr>
                <w:color w:val="000000"/>
                <w:kern w:val="0"/>
                <w:szCs w:val="21"/>
                <w:highlight w:val="none"/>
              </w:rPr>
              <w:t>4000</w:t>
            </w:r>
          </w:p>
        </w:tc>
        <w:tc>
          <w:tcPr>
            <w:tcW w:w="1116" w:type="dxa"/>
            <w:vAlign w:val="center"/>
          </w:tcPr>
          <w:p>
            <w:pPr>
              <w:widowControl/>
              <w:spacing w:line="288" w:lineRule="auto"/>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continue"/>
            <w:vAlign w:val="center"/>
          </w:tcPr>
          <w:p>
            <w:pPr>
              <w:widowControl/>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9</w:t>
            </w:r>
          </w:p>
        </w:tc>
        <w:tc>
          <w:tcPr>
            <w:tcW w:w="5052" w:type="dxa"/>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累计苏州市级及以上企业技术中心（家）</w:t>
            </w:r>
          </w:p>
        </w:tc>
        <w:tc>
          <w:tcPr>
            <w:tcW w:w="1817" w:type="dxa"/>
            <w:vAlign w:val="center"/>
          </w:tcPr>
          <w:p>
            <w:pPr>
              <w:widowControl/>
              <w:jc w:val="center"/>
              <w:textAlignment w:val="center"/>
              <w:rPr>
                <w:rFonts w:eastAsia="方正仿宋_GBK"/>
                <w:color w:val="000000"/>
                <w:szCs w:val="21"/>
                <w:highlight w:val="none"/>
              </w:rPr>
            </w:pPr>
            <w:r>
              <w:rPr>
                <w:color w:val="000000"/>
                <w:kern w:val="0"/>
                <w:szCs w:val="21"/>
                <w:highlight w:val="none"/>
              </w:rPr>
              <w:t>600</w:t>
            </w:r>
          </w:p>
        </w:tc>
        <w:tc>
          <w:tcPr>
            <w:tcW w:w="1116" w:type="dxa"/>
            <w:vAlign w:val="center"/>
          </w:tcPr>
          <w:p>
            <w:pPr>
              <w:widowControl/>
              <w:spacing w:line="288" w:lineRule="auto"/>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40" w:type="dxa"/>
            <w:vMerge w:val="continue"/>
            <w:vAlign w:val="center"/>
          </w:tcPr>
          <w:p>
            <w:pPr>
              <w:widowControl/>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10</w:t>
            </w:r>
          </w:p>
        </w:tc>
        <w:tc>
          <w:tcPr>
            <w:tcW w:w="5052" w:type="dxa"/>
            <w:vAlign w:val="center"/>
          </w:tcPr>
          <w:p>
            <w:pPr>
              <w:widowControl/>
              <w:textAlignment w:val="center"/>
              <w:rPr>
                <w:rStyle w:val="20"/>
                <w:rFonts w:hint="default" w:ascii="Times New Roman" w:hAnsi="Times New Roman" w:cs="Times New Roman"/>
                <w:color w:val="000000"/>
                <w:highlight w:val="none"/>
              </w:rPr>
            </w:pPr>
            <w:r>
              <w:rPr>
                <w:rStyle w:val="20"/>
                <w:rFonts w:hint="default" w:ascii="Times New Roman" w:hAnsi="Times New Roman" w:cs="Times New Roman"/>
                <w:color w:val="000000"/>
                <w:highlight w:val="none"/>
              </w:rPr>
              <w:t>累计市级及以上专精特新企业（家）</w:t>
            </w:r>
          </w:p>
        </w:tc>
        <w:tc>
          <w:tcPr>
            <w:tcW w:w="1817" w:type="dxa"/>
            <w:vAlign w:val="center"/>
          </w:tcPr>
          <w:p>
            <w:pPr>
              <w:widowControl/>
              <w:jc w:val="center"/>
              <w:textAlignment w:val="center"/>
              <w:rPr>
                <w:rFonts w:eastAsia="方正仿宋_GBK"/>
                <w:color w:val="000000"/>
                <w:szCs w:val="21"/>
                <w:highlight w:val="none"/>
              </w:rPr>
            </w:pPr>
            <w:r>
              <w:rPr>
                <w:color w:val="000000"/>
                <w:kern w:val="0"/>
                <w:szCs w:val="21"/>
                <w:highlight w:val="none"/>
              </w:rPr>
              <w:t>550</w:t>
            </w:r>
          </w:p>
        </w:tc>
        <w:tc>
          <w:tcPr>
            <w:tcW w:w="1116" w:type="dxa"/>
            <w:vAlign w:val="center"/>
          </w:tcPr>
          <w:p>
            <w:pPr>
              <w:widowControl/>
              <w:spacing w:line="288" w:lineRule="auto"/>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40" w:type="dxa"/>
            <w:vMerge w:val="restart"/>
            <w:vAlign w:val="center"/>
          </w:tcPr>
          <w:p>
            <w:pPr>
              <w:jc w:val="center"/>
              <w:rPr>
                <w:b/>
                <w:bCs/>
                <w:szCs w:val="21"/>
                <w:highlight w:val="none"/>
              </w:rPr>
            </w:pPr>
            <w:r>
              <w:rPr>
                <w:b/>
                <w:bCs/>
                <w:szCs w:val="21"/>
                <w:highlight w:val="none"/>
              </w:rPr>
              <w:t>数字转型</w:t>
            </w:r>
          </w:p>
        </w:tc>
        <w:tc>
          <w:tcPr>
            <w:tcW w:w="820" w:type="dxa"/>
            <w:vAlign w:val="center"/>
          </w:tcPr>
          <w:p>
            <w:pPr>
              <w:widowControl/>
              <w:jc w:val="center"/>
              <w:rPr>
                <w:rFonts w:eastAsia="方正仿宋_GBK"/>
                <w:szCs w:val="21"/>
                <w:highlight w:val="none"/>
              </w:rPr>
            </w:pPr>
            <w:r>
              <w:rPr>
                <w:rFonts w:eastAsia="方正仿宋_GBK"/>
                <w:szCs w:val="21"/>
                <w:highlight w:val="none"/>
              </w:rPr>
              <w:t>11</w:t>
            </w:r>
          </w:p>
        </w:tc>
        <w:tc>
          <w:tcPr>
            <w:tcW w:w="5052" w:type="dxa"/>
            <w:vAlign w:val="center"/>
          </w:tcPr>
          <w:p>
            <w:pPr>
              <w:widowControl/>
              <w:textAlignment w:val="center"/>
              <w:rPr>
                <w:rFonts w:eastAsia="方正仿宋_GBK"/>
                <w:szCs w:val="21"/>
                <w:highlight w:val="none"/>
              </w:rPr>
            </w:pPr>
            <w:r>
              <w:rPr>
                <w:rStyle w:val="21"/>
                <w:color w:val="auto"/>
                <w:highlight w:val="none"/>
              </w:rPr>
              <w:t>规上工业企业智能化改造和数字化转型率（%</w:t>
            </w:r>
            <w:r>
              <w:rPr>
                <w:rStyle w:val="22"/>
                <w:rFonts w:ascii="Times New Roman" w:hAnsi="Times New Roman" w:cs="Times New Roman"/>
                <w:color w:val="auto"/>
                <w:highlight w:val="none"/>
              </w:rPr>
              <w:t>）</w:t>
            </w:r>
          </w:p>
        </w:tc>
        <w:tc>
          <w:tcPr>
            <w:tcW w:w="1817" w:type="dxa"/>
            <w:vAlign w:val="center"/>
          </w:tcPr>
          <w:p>
            <w:pPr>
              <w:widowControl/>
              <w:jc w:val="center"/>
              <w:textAlignment w:val="center"/>
              <w:rPr>
                <w:rFonts w:eastAsia="方正仿宋_GBK"/>
                <w:color w:val="000000"/>
                <w:szCs w:val="21"/>
                <w:highlight w:val="none"/>
              </w:rPr>
            </w:pPr>
            <w:r>
              <w:rPr>
                <w:color w:val="000000"/>
                <w:kern w:val="0"/>
                <w:szCs w:val="21"/>
                <w:highlight w:val="none"/>
              </w:rPr>
              <w:t>100</w:t>
            </w:r>
          </w:p>
        </w:tc>
        <w:tc>
          <w:tcPr>
            <w:tcW w:w="1116" w:type="dxa"/>
            <w:vAlign w:val="center"/>
          </w:tcPr>
          <w:p>
            <w:pPr>
              <w:widowControl/>
              <w:adjustRightInd w:val="0"/>
              <w:snapToGrid w:val="0"/>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40" w:type="dxa"/>
            <w:vMerge w:val="continue"/>
            <w:vAlign w:val="center"/>
          </w:tcPr>
          <w:p>
            <w:pPr>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12</w:t>
            </w:r>
          </w:p>
        </w:tc>
        <w:tc>
          <w:tcPr>
            <w:tcW w:w="5052" w:type="dxa"/>
            <w:vAlign w:val="center"/>
          </w:tcPr>
          <w:p>
            <w:pPr>
              <w:widowControl/>
              <w:textAlignment w:val="center"/>
              <w:rPr>
                <w:rFonts w:eastAsia="方正仿宋_GBK"/>
                <w:szCs w:val="21"/>
                <w:highlight w:val="none"/>
              </w:rPr>
            </w:pPr>
            <w:r>
              <w:rPr>
                <w:kern w:val="0"/>
                <w:szCs w:val="21"/>
                <w:highlight w:val="none"/>
              </w:rPr>
              <w:t>累计苏州市级及以上示范智能车间（家）</w:t>
            </w:r>
          </w:p>
        </w:tc>
        <w:tc>
          <w:tcPr>
            <w:tcW w:w="1817" w:type="dxa"/>
            <w:vAlign w:val="center"/>
          </w:tcPr>
          <w:p>
            <w:pPr>
              <w:widowControl/>
              <w:jc w:val="center"/>
              <w:textAlignment w:val="center"/>
              <w:rPr>
                <w:color w:val="000000"/>
                <w:szCs w:val="21"/>
                <w:highlight w:val="none"/>
              </w:rPr>
            </w:pPr>
            <w:r>
              <w:rPr>
                <w:color w:val="000000"/>
                <w:kern w:val="0"/>
                <w:szCs w:val="21"/>
                <w:highlight w:val="none"/>
              </w:rPr>
              <w:t>300</w:t>
            </w:r>
          </w:p>
        </w:tc>
        <w:tc>
          <w:tcPr>
            <w:tcW w:w="1116" w:type="dxa"/>
            <w:vAlign w:val="center"/>
          </w:tcPr>
          <w:p>
            <w:pPr>
              <w:widowControl/>
              <w:adjustRightInd w:val="0"/>
              <w:snapToGrid w:val="0"/>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40" w:type="dxa"/>
            <w:vMerge w:val="continue"/>
            <w:vAlign w:val="center"/>
          </w:tcPr>
          <w:p>
            <w:pPr>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13</w:t>
            </w:r>
          </w:p>
        </w:tc>
        <w:tc>
          <w:tcPr>
            <w:tcW w:w="5052" w:type="dxa"/>
            <w:vAlign w:val="center"/>
          </w:tcPr>
          <w:p>
            <w:pPr>
              <w:widowControl/>
              <w:textAlignment w:val="center"/>
              <w:rPr>
                <w:color w:val="000000"/>
                <w:kern w:val="0"/>
                <w:szCs w:val="21"/>
                <w:highlight w:val="none"/>
              </w:rPr>
            </w:pPr>
            <w:r>
              <w:rPr>
                <w:color w:val="000000"/>
                <w:kern w:val="0"/>
                <w:szCs w:val="21"/>
                <w:highlight w:val="none"/>
              </w:rPr>
              <w:t>累计苏州市级及以上工业互联网企业（家）</w:t>
            </w:r>
          </w:p>
        </w:tc>
        <w:tc>
          <w:tcPr>
            <w:tcW w:w="1817" w:type="dxa"/>
            <w:vAlign w:val="center"/>
          </w:tcPr>
          <w:p>
            <w:pPr>
              <w:widowControl/>
              <w:jc w:val="center"/>
              <w:textAlignment w:val="center"/>
              <w:rPr>
                <w:color w:val="000000"/>
                <w:kern w:val="0"/>
                <w:szCs w:val="21"/>
                <w:highlight w:val="none"/>
              </w:rPr>
            </w:pPr>
            <w:r>
              <w:rPr>
                <w:color w:val="000000"/>
                <w:kern w:val="0"/>
                <w:szCs w:val="21"/>
                <w:highlight w:val="none"/>
              </w:rPr>
              <w:t>40</w:t>
            </w:r>
          </w:p>
        </w:tc>
        <w:tc>
          <w:tcPr>
            <w:tcW w:w="1116" w:type="dxa"/>
            <w:vAlign w:val="center"/>
          </w:tcPr>
          <w:p>
            <w:pPr>
              <w:widowControl/>
              <w:adjustRightInd w:val="0"/>
              <w:snapToGrid w:val="0"/>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40" w:type="dxa"/>
            <w:vMerge w:val="restart"/>
            <w:vAlign w:val="center"/>
          </w:tcPr>
          <w:p>
            <w:pPr>
              <w:widowControl/>
              <w:jc w:val="center"/>
              <w:rPr>
                <w:b/>
                <w:bCs/>
                <w:szCs w:val="21"/>
                <w:highlight w:val="none"/>
              </w:rPr>
            </w:pPr>
            <w:r>
              <w:rPr>
                <w:b/>
                <w:bCs/>
                <w:szCs w:val="21"/>
                <w:highlight w:val="none"/>
              </w:rPr>
              <w:t>绿色发展</w:t>
            </w:r>
          </w:p>
        </w:tc>
        <w:tc>
          <w:tcPr>
            <w:tcW w:w="820" w:type="dxa"/>
            <w:vAlign w:val="center"/>
          </w:tcPr>
          <w:p>
            <w:pPr>
              <w:widowControl/>
              <w:jc w:val="center"/>
              <w:rPr>
                <w:rFonts w:eastAsia="方正仿宋_GBK"/>
                <w:szCs w:val="21"/>
                <w:highlight w:val="none"/>
              </w:rPr>
            </w:pPr>
            <w:r>
              <w:rPr>
                <w:rFonts w:eastAsia="方正仿宋_GBK"/>
                <w:szCs w:val="21"/>
                <w:highlight w:val="none"/>
              </w:rPr>
              <w:t>14</w:t>
            </w:r>
          </w:p>
        </w:tc>
        <w:tc>
          <w:tcPr>
            <w:tcW w:w="5052" w:type="dxa"/>
            <w:vAlign w:val="center"/>
          </w:tcPr>
          <w:p>
            <w:pPr>
              <w:widowControl/>
              <w:textAlignment w:val="center"/>
              <w:rPr>
                <w:rStyle w:val="21"/>
                <w:highlight w:val="none"/>
              </w:rPr>
            </w:pPr>
            <w:r>
              <w:rPr>
                <w:rStyle w:val="21"/>
                <w:highlight w:val="none"/>
              </w:rPr>
              <w:t>创建省级及以上绿色工厂</w:t>
            </w:r>
          </w:p>
        </w:tc>
        <w:tc>
          <w:tcPr>
            <w:tcW w:w="1817" w:type="dxa"/>
            <w:vAlign w:val="center"/>
          </w:tcPr>
          <w:p>
            <w:pPr>
              <w:widowControl/>
              <w:jc w:val="center"/>
              <w:textAlignment w:val="center"/>
              <w:rPr>
                <w:color w:val="000000"/>
                <w:kern w:val="0"/>
                <w:szCs w:val="21"/>
                <w:highlight w:val="none"/>
              </w:rPr>
            </w:pPr>
            <w:r>
              <w:rPr>
                <w:color w:val="000000"/>
                <w:kern w:val="0"/>
                <w:szCs w:val="21"/>
                <w:highlight w:val="none"/>
              </w:rPr>
              <w:t>50</w:t>
            </w:r>
          </w:p>
        </w:tc>
        <w:tc>
          <w:tcPr>
            <w:tcW w:w="1116" w:type="dxa"/>
            <w:vAlign w:val="center"/>
          </w:tcPr>
          <w:p>
            <w:pPr>
              <w:widowControl/>
              <w:adjustRightInd w:val="0"/>
              <w:snapToGrid w:val="0"/>
              <w:jc w:val="center"/>
              <w:rPr>
                <w:szCs w:val="21"/>
                <w:highlight w:val="none"/>
              </w:rPr>
            </w:pPr>
            <w:r>
              <w:rPr>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40" w:type="dxa"/>
            <w:vMerge w:val="continue"/>
            <w:vAlign w:val="center"/>
          </w:tcPr>
          <w:p>
            <w:pPr>
              <w:widowControl/>
              <w:jc w:val="center"/>
              <w:rPr>
                <w:b/>
                <w:bCs/>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15</w:t>
            </w:r>
          </w:p>
        </w:tc>
        <w:tc>
          <w:tcPr>
            <w:tcW w:w="5052" w:type="dxa"/>
            <w:vAlign w:val="center"/>
          </w:tcPr>
          <w:p>
            <w:pPr>
              <w:widowControl/>
              <w:textAlignment w:val="center"/>
              <w:rPr>
                <w:rFonts w:eastAsia="方正仿宋_GBK"/>
                <w:szCs w:val="21"/>
                <w:highlight w:val="none"/>
              </w:rPr>
            </w:pPr>
            <w:r>
              <w:rPr>
                <w:rStyle w:val="21"/>
                <w:highlight w:val="none"/>
              </w:rPr>
              <w:t>单位工业增加值能耗下降率（%</w:t>
            </w:r>
            <w:r>
              <w:rPr>
                <w:rStyle w:val="22"/>
                <w:rFonts w:ascii="Times New Roman" w:hAnsi="Times New Roman" w:cs="Times New Roman"/>
                <w:highlight w:val="none"/>
              </w:rPr>
              <w:t>）</w:t>
            </w:r>
          </w:p>
        </w:tc>
        <w:tc>
          <w:tcPr>
            <w:tcW w:w="1817" w:type="dxa"/>
            <w:vAlign w:val="center"/>
          </w:tcPr>
          <w:p>
            <w:pPr>
              <w:widowControl/>
              <w:jc w:val="center"/>
              <w:textAlignment w:val="center"/>
              <w:rPr>
                <w:rFonts w:eastAsia="方正仿宋_GBK"/>
                <w:color w:val="000000"/>
                <w:szCs w:val="21"/>
                <w:highlight w:val="none"/>
              </w:rPr>
            </w:pPr>
            <w:r>
              <w:rPr>
                <w:color w:val="000000"/>
                <w:kern w:val="0"/>
                <w:szCs w:val="21"/>
                <w:highlight w:val="none"/>
              </w:rPr>
              <w:t>完成下达目标</w:t>
            </w:r>
          </w:p>
        </w:tc>
        <w:tc>
          <w:tcPr>
            <w:tcW w:w="1116" w:type="dxa"/>
            <w:vAlign w:val="center"/>
          </w:tcPr>
          <w:p>
            <w:pPr>
              <w:widowControl/>
              <w:adjustRightInd w:val="0"/>
              <w:snapToGrid w:val="0"/>
              <w:jc w:val="center"/>
              <w:rPr>
                <w:szCs w:val="21"/>
                <w:highlight w:val="none"/>
              </w:rPr>
            </w:pPr>
            <w:r>
              <w:rPr>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40" w:type="dxa"/>
            <w:vMerge w:val="continue"/>
          </w:tcPr>
          <w:p>
            <w:pPr>
              <w:widowControl/>
              <w:jc w:val="center"/>
              <w:rPr>
                <w:rFonts w:eastAsia="方正仿宋_GBK"/>
                <w:szCs w:val="21"/>
                <w:highlight w:val="none"/>
              </w:rPr>
            </w:pPr>
          </w:p>
        </w:tc>
        <w:tc>
          <w:tcPr>
            <w:tcW w:w="820" w:type="dxa"/>
            <w:vAlign w:val="center"/>
          </w:tcPr>
          <w:p>
            <w:pPr>
              <w:widowControl/>
              <w:jc w:val="center"/>
              <w:rPr>
                <w:rFonts w:eastAsia="方正仿宋_GBK"/>
                <w:szCs w:val="21"/>
                <w:highlight w:val="none"/>
              </w:rPr>
            </w:pPr>
            <w:r>
              <w:rPr>
                <w:rFonts w:eastAsia="方正仿宋_GBK"/>
                <w:szCs w:val="21"/>
                <w:highlight w:val="none"/>
              </w:rPr>
              <w:t>16</w:t>
            </w:r>
          </w:p>
        </w:tc>
        <w:tc>
          <w:tcPr>
            <w:tcW w:w="5052" w:type="dxa"/>
            <w:vAlign w:val="center"/>
          </w:tcPr>
          <w:p>
            <w:pPr>
              <w:widowControl/>
              <w:textAlignment w:val="center"/>
              <w:rPr>
                <w:rFonts w:eastAsia="方正仿宋_GBK"/>
                <w:szCs w:val="21"/>
                <w:highlight w:val="none"/>
              </w:rPr>
            </w:pPr>
            <w:r>
              <w:rPr>
                <w:rStyle w:val="21"/>
                <w:highlight w:val="none"/>
              </w:rPr>
              <w:t>单位工业增加值二氧化碳排放降低（%</w:t>
            </w:r>
            <w:r>
              <w:rPr>
                <w:rStyle w:val="22"/>
                <w:rFonts w:ascii="Times New Roman" w:hAnsi="Times New Roman" w:cs="Times New Roman"/>
                <w:highlight w:val="none"/>
              </w:rPr>
              <w:t>）</w:t>
            </w:r>
          </w:p>
        </w:tc>
        <w:tc>
          <w:tcPr>
            <w:tcW w:w="1817" w:type="dxa"/>
            <w:vAlign w:val="center"/>
          </w:tcPr>
          <w:p>
            <w:pPr>
              <w:widowControl/>
              <w:jc w:val="center"/>
              <w:textAlignment w:val="center"/>
              <w:rPr>
                <w:rFonts w:eastAsia="方正仿宋_GBK"/>
                <w:szCs w:val="21"/>
                <w:highlight w:val="none"/>
              </w:rPr>
            </w:pPr>
            <w:r>
              <w:rPr>
                <w:color w:val="000000"/>
                <w:kern w:val="0"/>
                <w:szCs w:val="21"/>
                <w:highlight w:val="none"/>
              </w:rPr>
              <w:t>完成下达目标</w:t>
            </w:r>
          </w:p>
        </w:tc>
        <w:tc>
          <w:tcPr>
            <w:tcW w:w="1116" w:type="dxa"/>
            <w:vAlign w:val="center"/>
          </w:tcPr>
          <w:p>
            <w:pPr>
              <w:widowControl/>
              <w:adjustRightInd w:val="0"/>
              <w:snapToGrid w:val="0"/>
              <w:jc w:val="center"/>
              <w:rPr>
                <w:szCs w:val="21"/>
                <w:highlight w:val="none"/>
              </w:rPr>
            </w:pPr>
            <w:r>
              <w:rPr>
                <w:szCs w:val="21"/>
                <w:highlight w:val="none"/>
              </w:rPr>
              <w:t>约束性</w:t>
            </w:r>
          </w:p>
        </w:tc>
      </w:tr>
    </w:tbl>
    <w:p>
      <w:pPr>
        <w:pStyle w:val="4"/>
        <w:adjustRightInd w:val="0"/>
        <w:spacing w:line="600" w:lineRule="exact"/>
        <w:ind w:firstLine="640" w:firstLineChars="200"/>
        <w:outlineLvl w:val="0"/>
        <w:rPr>
          <w:rFonts w:eastAsia="黑体"/>
          <w:sz w:val="32"/>
          <w:szCs w:val="32"/>
          <w:highlight w:val="none"/>
        </w:rPr>
      </w:pPr>
      <w:bookmarkStart w:id="203" w:name="_Toc4495"/>
      <w:bookmarkStart w:id="204" w:name="_Toc24138"/>
      <w:bookmarkStart w:id="205" w:name="_Toc25915"/>
      <w:bookmarkStart w:id="206" w:name="_Toc20798"/>
      <w:bookmarkStart w:id="207" w:name="_Toc151"/>
      <w:bookmarkStart w:id="208" w:name="_Toc30222"/>
      <w:bookmarkStart w:id="209" w:name="_Toc84829660"/>
      <w:bookmarkStart w:id="210" w:name="_Toc22392"/>
      <w:bookmarkStart w:id="211" w:name="_Toc78802166"/>
      <w:bookmarkStart w:id="212" w:name="_Toc12888"/>
      <w:bookmarkStart w:id="213" w:name="_Toc88424327"/>
      <w:bookmarkStart w:id="214" w:name="_Toc13345"/>
      <w:bookmarkStart w:id="215" w:name="_Toc457"/>
      <w:bookmarkStart w:id="216" w:name="_Toc22800"/>
      <w:bookmarkStart w:id="217" w:name="_Toc20678"/>
      <w:bookmarkStart w:id="218" w:name="_Toc17187"/>
      <w:bookmarkStart w:id="219" w:name="_Toc81518450"/>
      <w:bookmarkStart w:id="220" w:name="_Toc13784"/>
      <w:bookmarkStart w:id="221" w:name="_Toc28124"/>
      <w:bookmarkStart w:id="222" w:name="_Toc10930"/>
      <w:bookmarkStart w:id="223" w:name="_Toc4624"/>
      <w:bookmarkStart w:id="224" w:name="_Toc11417"/>
      <w:bookmarkStart w:id="225" w:name="_Toc28268"/>
      <w:bookmarkStart w:id="226" w:name="_Toc24737"/>
      <w:r>
        <w:rPr>
          <w:rFonts w:eastAsia="黑体"/>
          <w:sz w:val="32"/>
          <w:szCs w:val="32"/>
          <w:highlight w:val="none"/>
        </w:rPr>
        <w:t>三、</w:t>
      </w:r>
      <w:bookmarkEnd w:id="203"/>
      <w:bookmarkEnd w:id="204"/>
      <w:bookmarkEnd w:id="205"/>
      <w:r>
        <w:rPr>
          <w:rFonts w:eastAsia="黑体"/>
          <w:sz w:val="32"/>
          <w:szCs w:val="32"/>
          <w:highlight w:val="none"/>
        </w:rPr>
        <w:t>发展</w:t>
      </w:r>
      <w:bookmarkEnd w:id="206"/>
      <w:bookmarkEnd w:id="207"/>
      <w:bookmarkEnd w:id="208"/>
      <w:r>
        <w:rPr>
          <w:rFonts w:eastAsia="黑体"/>
          <w:sz w:val="32"/>
          <w:szCs w:val="32"/>
          <w:highlight w:val="none"/>
        </w:rPr>
        <w:t>重点</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600" w:lineRule="exact"/>
        <w:ind w:firstLine="640" w:firstLineChars="200"/>
        <w:rPr>
          <w:rFonts w:eastAsia="仿宋_GB2312"/>
          <w:sz w:val="32"/>
          <w:szCs w:val="32"/>
          <w:highlight w:val="none"/>
        </w:rPr>
      </w:pPr>
      <w:r>
        <w:rPr>
          <w:rFonts w:eastAsia="仿宋_GB2312"/>
          <w:sz w:val="32"/>
          <w:szCs w:val="32"/>
          <w:highlight w:val="none"/>
        </w:rPr>
        <w:t>“十四五”时期，昆山将坚持制造强市战略，立足现有基础，把握产业转型机遇，大力发展电子信息和装备制造两个主导产业，重点布局新显示、新智造、新医疗、新能源、新材料、新数字六个战略性新兴产业，前瞻布局元宇宙</w:t>
      </w:r>
      <w:r>
        <w:rPr>
          <w:rFonts w:hint="eastAsia" w:eastAsia="仿宋_GB2312"/>
          <w:sz w:val="32"/>
          <w:szCs w:val="32"/>
          <w:highlight w:val="none"/>
        </w:rPr>
        <w:t>、</w:t>
      </w:r>
      <w:r>
        <w:rPr>
          <w:rFonts w:eastAsia="仿宋_GB2312"/>
          <w:sz w:val="32"/>
          <w:szCs w:val="32"/>
          <w:highlight w:val="none"/>
        </w:rPr>
        <w:t>智能网联汽车</w:t>
      </w:r>
      <w:r>
        <w:rPr>
          <w:rFonts w:hint="eastAsia" w:eastAsia="仿宋_GB2312"/>
          <w:sz w:val="32"/>
          <w:szCs w:val="32"/>
          <w:highlight w:val="none"/>
        </w:rPr>
        <w:t>、人形机器人、</w:t>
      </w:r>
      <w:r>
        <w:rPr>
          <w:rFonts w:eastAsia="仿宋_GB2312"/>
          <w:sz w:val="32"/>
          <w:szCs w:val="32"/>
          <w:highlight w:val="none"/>
        </w:rPr>
        <w:t>增材制造等先导产业，全力打造“2+6+X”现代化产业体系。</w:t>
      </w:r>
    </w:p>
    <w:p>
      <w:pPr>
        <w:pStyle w:val="4"/>
        <w:numPr>
          <w:ilvl w:val="255"/>
          <w:numId w:val="0"/>
        </w:numPr>
        <w:spacing w:line="600" w:lineRule="exact"/>
        <w:ind w:firstLine="643" w:firstLineChars="200"/>
        <w:outlineLvl w:val="1"/>
        <w:rPr>
          <w:rFonts w:eastAsia="楷体_GB2312"/>
          <w:b/>
          <w:bCs/>
          <w:color w:val="000000"/>
          <w:kern w:val="0"/>
          <w:sz w:val="32"/>
          <w:szCs w:val="32"/>
          <w:highlight w:val="none"/>
        </w:rPr>
      </w:pPr>
      <w:bookmarkStart w:id="227" w:name="_Toc14286"/>
      <w:r>
        <w:rPr>
          <w:rFonts w:eastAsia="楷体_GB2312"/>
          <w:b/>
          <w:bCs/>
          <w:color w:val="000000"/>
          <w:kern w:val="0"/>
          <w:sz w:val="32"/>
          <w:szCs w:val="32"/>
          <w:highlight w:val="none"/>
        </w:rPr>
        <w:t>（一）主导产业</w:t>
      </w:r>
      <w:bookmarkEnd w:id="227"/>
    </w:p>
    <w:p>
      <w:pPr>
        <w:pStyle w:val="4"/>
        <w:numPr>
          <w:ilvl w:val="255"/>
          <w:numId w:val="0"/>
        </w:numPr>
        <w:spacing w:line="600" w:lineRule="exact"/>
        <w:ind w:firstLine="643" w:firstLineChars="200"/>
        <w:outlineLvl w:val="2"/>
        <w:rPr>
          <w:rFonts w:eastAsia="仿宋_GB2312"/>
          <w:b/>
          <w:bCs/>
          <w:color w:val="000000"/>
          <w:kern w:val="0"/>
          <w:sz w:val="32"/>
          <w:szCs w:val="32"/>
          <w:highlight w:val="none"/>
        </w:rPr>
      </w:pPr>
      <w:r>
        <w:rPr>
          <w:rFonts w:eastAsia="仿宋_GB2312"/>
          <w:b/>
          <w:bCs/>
          <w:color w:val="000000"/>
          <w:kern w:val="0"/>
          <w:sz w:val="32"/>
          <w:szCs w:val="32"/>
          <w:highlight w:val="none"/>
        </w:rPr>
        <w:t>1.电子信息</w:t>
      </w:r>
    </w:p>
    <w:p>
      <w:pPr>
        <w:widowControl/>
        <w:ind w:firstLine="640" w:firstLineChars="200"/>
        <w:rPr>
          <w:rFonts w:eastAsia="仿宋_GB2312"/>
          <w:color w:val="000000"/>
          <w:kern w:val="0"/>
          <w:sz w:val="32"/>
          <w:szCs w:val="32"/>
          <w:highlight w:val="none"/>
        </w:rPr>
      </w:pPr>
      <w:r>
        <w:rPr>
          <w:rFonts w:eastAsia="仿宋_GB2312"/>
          <w:color w:val="000000"/>
          <w:kern w:val="0"/>
          <w:sz w:val="32"/>
          <w:szCs w:val="32"/>
          <w:highlight w:val="none"/>
        </w:rPr>
        <w:t>重点发展新型显示、集成电路、智能终端等领域。加强核心电子元器件技术攻关，推进电子信息制造业智能化高端化发展，提升产业核心竞争力。布局OLED、Micro-LED等下一代显示技术，加快发展4K/8K超高清视频产业，提升面板、模组、应用产品生产能力，支持增强现实(AR)/虚拟现实(VR)/</w:t>
      </w:r>
      <w:r>
        <w:rPr>
          <w:rFonts w:hint="eastAsia" w:eastAsia="仿宋_GB2312"/>
          <w:color w:val="000000"/>
          <w:kern w:val="0"/>
          <w:sz w:val="32"/>
          <w:szCs w:val="32"/>
          <w:highlight w:val="none"/>
        </w:rPr>
        <w:t xml:space="preserve"> 混合现实</w:t>
      </w:r>
      <w:r>
        <w:rPr>
          <w:rFonts w:eastAsia="仿宋_GB2312"/>
          <w:color w:val="000000"/>
          <w:kern w:val="0"/>
          <w:sz w:val="32"/>
          <w:szCs w:val="32"/>
          <w:highlight w:val="none"/>
        </w:rPr>
        <w:t>(</w:t>
      </w:r>
      <w:r>
        <w:rPr>
          <w:rFonts w:hint="eastAsia" w:eastAsia="仿宋_GB2312"/>
          <w:color w:val="000000"/>
          <w:kern w:val="0"/>
          <w:sz w:val="32"/>
          <w:szCs w:val="32"/>
          <w:highlight w:val="none"/>
        </w:rPr>
        <w:t>MR</w:t>
      </w:r>
      <w:r>
        <w:rPr>
          <w:rFonts w:eastAsia="仿宋_GB2312"/>
          <w:color w:val="000000"/>
          <w:kern w:val="0"/>
          <w:sz w:val="32"/>
          <w:szCs w:val="32"/>
          <w:highlight w:val="none"/>
        </w:rPr>
        <w:t>) /</w:t>
      </w:r>
      <w:r>
        <w:rPr>
          <w:rFonts w:hint="eastAsia" w:eastAsia="仿宋_GB2312"/>
          <w:color w:val="000000"/>
          <w:kern w:val="0"/>
          <w:sz w:val="32"/>
          <w:szCs w:val="32"/>
          <w:highlight w:val="none"/>
        </w:rPr>
        <w:t>扩展现实</w:t>
      </w:r>
      <w:r>
        <w:rPr>
          <w:rFonts w:eastAsia="仿宋_GB2312"/>
          <w:color w:val="000000"/>
          <w:kern w:val="0"/>
          <w:sz w:val="32"/>
          <w:szCs w:val="32"/>
          <w:highlight w:val="none"/>
        </w:rPr>
        <w:t>(</w:t>
      </w:r>
      <w:r>
        <w:rPr>
          <w:rFonts w:hint="eastAsia" w:eastAsia="仿宋_GB2312"/>
          <w:color w:val="000000"/>
          <w:kern w:val="0"/>
          <w:sz w:val="32"/>
          <w:szCs w:val="32"/>
          <w:highlight w:val="none"/>
        </w:rPr>
        <w:t>XR</w:t>
      </w:r>
      <w:r>
        <w:rPr>
          <w:rFonts w:eastAsia="仿宋_GB2312"/>
          <w:color w:val="000000"/>
          <w:kern w:val="0"/>
          <w:sz w:val="32"/>
          <w:szCs w:val="32"/>
          <w:highlight w:val="none"/>
        </w:rPr>
        <w:t>)等高端显示产品发展。加快5G智能终端、系统网络设备、应用服务等产业链关键环节集聚发展，构建涵盖芯片、模组、终端、行业应用的智能终端产业体系。</w:t>
      </w:r>
      <w:r>
        <w:rPr>
          <w:rFonts w:eastAsia="仿宋_GB2312"/>
          <w:sz w:val="32"/>
          <w:szCs w:val="32"/>
          <w:highlight w:val="none"/>
        </w:rPr>
        <w:t>积极布局元宇宙、智能网联汽车、车载电子、VR/AR/MR/XR、智能家居、智慧健康养老等新赛道。</w:t>
      </w:r>
    </w:p>
    <w:p>
      <w:pPr>
        <w:pStyle w:val="4"/>
        <w:numPr>
          <w:ilvl w:val="255"/>
          <w:numId w:val="0"/>
        </w:numPr>
        <w:spacing w:line="600" w:lineRule="exact"/>
        <w:ind w:firstLine="643" w:firstLineChars="200"/>
        <w:outlineLvl w:val="2"/>
        <w:rPr>
          <w:rFonts w:eastAsia="仿宋_GB2312"/>
          <w:b/>
          <w:bCs/>
          <w:color w:val="000000"/>
          <w:kern w:val="0"/>
          <w:sz w:val="32"/>
          <w:szCs w:val="32"/>
          <w:highlight w:val="none"/>
        </w:rPr>
      </w:pPr>
      <w:r>
        <w:rPr>
          <w:rFonts w:hint="eastAsia" w:eastAsia="仿宋_GB2312"/>
          <w:b/>
          <w:bCs/>
          <w:color w:val="000000"/>
          <w:kern w:val="0"/>
          <w:sz w:val="32"/>
          <w:szCs w:val="32"/>
          <w:highlight w:val="none"/>
        </w:rPr>
        <w:t>2</w:t>
      </w:r>
      <w:r>
        <w:rPr>
          <w:rFonts w:eastAsia="仿宋_GB2312"/>
          <w:b/>
          <w:bCs/>
          <w:color w:val="000000"/>
          <w:kern w:val="0"/>
          <w:sz w:val="32"/>
          <w:szCs w:val="32"/>
          <w:highlight w:val="none"/>
        </w:rPr>
        <w:t>.装备制造</w:t>
      </w:r>
    </w:p>
    <w:p>
      <w:pPr>
        <w:pStyle w:val="4"/>
        <w:numPr>
          <w:ilvl w:val="255"/>
          <w:numId w:val="0"/>
        </w:numPr>
        <w:ind w:firstLine="640" w:firstLineChars="200"/>
        <w:rPr>
          <w:rFonts w:eastAsia="仿宋_GB2312"/>
          <w:sz w:val="32"/>
          <w:szCs w:val="32"/>
          <w:highlight w:val="none"/>
        </w:rPr>
      </w:pPr>
      <w:r>
        <w:rPr>
          <w:rFonts w:eastAsia="仿宋_GB2312"/>
          <w:sz w:val="32"/>
          <w:szCs w:val="32"/>
          <w:highlight w:val="none"/>
        </w:rPr>
        <w:t>聚焦重点领域产业集聚与特色发展，加快突破一批单机及成套设备</w:t>
      </w:r>
      <w:r>
        <w:rPr>
          <w:rFonts w:hint="eastAsia" w:eastAsia="仿宋_GB2312"/>
          <w:sz w:val="32"/>
          <w:szCs w:val="32"/>
          <w:highlight w:val="none"/>
        </w:rPr>
        <w:t>，</w:t>
      </w:r>
      <w:r>
        <w:rPr>
          <w:rFonts w:eastAsia="仿宋_GB2312"/>
          <w:sz w:val="32"/>
          <w:szCs w:val="32"/>
          <w:highlight w:val="none"/>
        </w:rPr>
        <w:t>重点在高档数控机床、机器人及相关联配套产品上形成产业化</w:t>
      </w:r>
      <w:r>
        <w:rPr>
          <w:rFonts w:hint="eastAsia" w:eastAsia="仿宋_GB2312"/>
          <w:sz w:val="32"/>
          <w:szCs w:val="32"/>
          <w:highlight w:val="none"/>
        </w:rPr>
        <w:t>发展</w:t>
      </w:r>
      <w:r>
        <w:rPr>
          <w:rFonts w:eastAsia="仿宋_GB2312"/>
          <w:sz w:val="32"/>
          <w:szCs w:val="32"/>
          <w:highlight w:val="none"/>
        </w:rPr>
        <w:t>，提高自主创新能力和配套能力。围绕智能成套装备、高端仪器仪表与控制系统、关键基础零部件等基础产业，加快产业高端化和现代化发展。重点发展汽车及零部件制造业，引导汽车产业与能源、交通、信息通信、人工智能等领域深度融合，加快传统燃油汽车相关企业转型。以长续航、高安全、全气候为发展方向，支持固态锂电池等新一代电池技术研发及产业化。顺应汽车低碳化、信息化、智能化发展趋势，支持新能源汽车发展成为集成新技术、</w:t>
      </w:r>
      <w:r>
        <w:rPr>
          <w:rFonts w:hint="eastAsia" w:eastAsia="仿宋_GB2312"/>
          <w:sz w:val="32"/>
          <w:szCs w:val="32"/>
          <w:highlight w:val="none"/>
        </w:rPr>
        <w:t>承载</w:t>
      </w:r>
      <w:r>
        <w:rPr>
          <w:rFonts w:eastAsia="仿宋_GB2312"/>
          <w:sz w:val="32"/>
          <w:szCs w:val="32"/>
          <w:highlight w:val="none"/>
        </w:rPr>
        <w:t>娱乐消费的平台级工业品。</w:t>
      </w:r>
    </w:p>
    <w:p>
      <w:pPr>
        <w:pStyle w:val="4"/>
        <w:numPr>
          <w:ilvl w:val="255"/>
          <w:numId w:val="0"/>
        </w:numPr>
        <w:spacing w:line="600" w:lineRule="exact"/>
        <w:ind w:firstLine="643" w:firstLineChars="200"/>
        <w:outlineLvl w:val="1"/>
        <w:rPr>
          <w:rFonts w:eastAsia="楷体_GB2312"/>
          <w:b/>
          <w:bCs/>
          <w:color w:val="000000"/>
          <w:kern w:val="0"/>
          <w:sz w:val="32"/>
          <w:szCs w:val="32"/>
          <w:highlight w:val="none"/>
        </w:rPr>
      </w:pPr>
      <w:bookmarkStart w:id="228" w:name="_Toc13241"/>
      <w:r>
        <w:rPr>
          <w:rFonts w:eastAsia="楷体_GB2312"/>
          <w:b/>
          <w:bCs/>
          <w:color w:val="000000"/>
          <w:kern w:val="0"/>
          <w:sz w:val="32"/>
          <w:szCs w:val="32"/>
          <w:highlight w:val="none"/>
        </w:rPr>
        <w:t>（二）新兴产业</w:t>
      </w:r>
      <w:bookmarkEnd w:id="228"/>
    </w:p>
    <w:p>
      <w:pPr>
        <w:pStyle w:val="4"/>
        <w:spacing w:line="600" w:lineRule="exact"/>
        <w:ind w:firstLine="643" w:firstLineChars="200"/>
        <w:outlineLvl w:val="2"/>
        <w:rPr>
          <w:rFonts w:eastAsia="仿宋_GB2312"/>
          <w:b/>
          <w:bCs/>
          <w:color w:val="000000"/>
          <w:kern w:val="0"/>
          <w:sz w:val="32"/>
          <w:szCs w:val="32"/>
          <w:highlight w:val="none"/>
        </w:rPr>
      </w:pPr>
      <w:bookmarkStart w:id="229" w:name="_Toc20500"/>
      <w:bookmarkStart w:id="230" w:name="_Toc56776844"/>
      <w:r>
        <w:rPr>
          <w:rFonts w:eastAsia="仿宋_GB2312"/>
          <w:b/>
          <w:bCs/>
          <w:color w:val="000000"/>
          <w:kern w:val="0"/>
          <w:sz w:val="32"/>
          <w:szCs w:val="32"/>
          <w:highlight w:val="none"/>
        </w:rPr>
        <w:t>1.新显示</w:t>
      </w:r>
      <w:bookmarkEnd w:id="229"/>
    </w:p>
    <w:bookmarkEnd w:id="230"/>
    <w:p>
      <w:pPr>
        <w:pStyle w:val="4"/>
        <w:spacing w:line="600" w:lineRule="exact"/>
        <w:ind w:firstLine="640" w:firstLineChars="200"/>
        <w:rPr>
          <w:rFonts w:eastAsia="仿宋_GB2312"/>
          <w:sz w:val="32"/>
          <w:szCs w:val="32"/>
          <w:highlight w:val="none"/>
        </w:rPr>
      </w:pPr>
      <w:bookmarkStart w:id="231" w:name="_Hlk56967757"/>
      <w:r>
        <w:rPr>
          <w:rFonts w:eastAsia="仿宋_GB2312"/>
          <w:sz w:val="32"/>
          <w:szCs w:val="32"/>
          <w:highlight w:val="none"/>
        </w:rPr>
        <w:t>以提升能级、联动发展为重点，深化实施“强芯亮屏”工程，支持光电显示全产业链发展，巩固智能终端产业基础优势，加快集成电路高端化发展，推动信息通信产业规模化发展，打造产业链协同、世界先进的千亿级新显示产业集群。</w:t>
      </w:r>
    </w:p>
    <w:p>
      <w:pPr>
        <w:spacing w:line="600" w:lineRule="exact"/>
        <w:ind w:firstLine="643" w:firstLineChars="200"/>
        <w:rPr>
          <w:rStyle w:val="23"/>
          <w:rFonts w:hint="default" w:ascii="Times New Roman" w:hAnsi="Times New Roman" w:eastAsia="仿宋_GB2312"/>
          <w:color w:val="auto"/>
          <w:sz w:val="32"/>
          <w:szCs w:val="32"/>
          <w:highlight w:val="none"/>
        </w:rPr>
      </w:pPr>
      <w:r>
        <w:rPr>
          <w:rFonts w:eastAsia="仿宋_GB2312"/>
          <w:b/>
          <w:bCs/>
          <w:sz w:val="32"/>
          <w:szCs w:val="32"/>
          <w:highlight w:val="none"/>
        </w:rPr>
        <w:t>光电显示。</w:t>
      </w:r>
      <w:r>
        <w:rPr>
          <w:rStyle w:val="23"/>
          <w:rFonts w:hint="default" w:ascii="Times New Roman" w:hAnsi="Times New Roman" w:eastAsia="仿宋_GB2312"/>
          <w:color w:val="auto"/>
          <w:sz w:val="32"/>
          <w:szCs w:val="32"/>
          <w:highlight w:val="none"/>
        </w:rPr>
        <w:t>强化协同创新和配套集聚，加快构建</w:t>
      </w:r>
      <w:bookmarkStart w:id="232" w:name="_Hlk87505409"/>
      <w:r>
        <w:rPr>
          <w:rStyle w:val="23"/>
          <w:rFonts w:hint="default" w:ascii="Times New Roman" w:hAnsi="Times New Roman" w:eastAsia="仿宋_GB2312"/>
          <w:color w:val="auto"/>
          <w:sz w:val="32"/>
          <w:szCs w:val="32"/>
          <w:highlight w:val="none"/>
        </w:rPr>
        <w:t>“原材料—面板—模组—整机—设备”的全产业链生态体系</w:t>
      </w:r>
      <w:bookmarkEnd w:id="232"/>
      <w:r>
        <w:rPr>
          <w:rStyle w:val="23"/>
          <w:rFonts w:hint="default" w:ascii="Times New Roman" w:hAnsi="Times New Roman" w:eastAsia="仿宋_GB2312"/>
          <w:color w:val="auto"/>
          <w:sz w:val="32"/>
          <w:szCs w:val="32"/>
          <w:highlight w:val="none"/>
        </w:rPr>
        <w:t>。重点发展大尺寸AMOLED面板、中小尺寸AMOLED柔性折叠屏、Micro LED显示面板、量子点显示面板、激光显示面板、3D显示面板、8K超高清显示面板等。积极开展蒸镀共性技术、彩色化显示技术、高均匀性硅基OLED Array电路等基础研究，着力突破金属氧化物TFT、Micro LED微缩制程、Micro LED、MIN LED巨量转移、单片集成全彩显示等技术，持续支持高精度低损伤激光切割、有机发光蒸镀制备等AMOLED技术研发，加快低温多晶硅（LTPS）等关键技术升级。支持发展基板材料、液晶材料、光学膜、掩膜板、靶材、光刻胶等核心配套材料。探索光电显示与新一代信息技术结合，拓展智能穿戴、车载、医用、工控等新应用市场。</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智能终端</w:t>
      </w:r>
      <w:r>
        <w:rPr>
          <w:b/>
          <w:bCs/>
          <w:sz w:val="32"/>
          <w:szCs w:val="32"/>
          <w:highlight w:val="none"/>
        </w:rPr>
        <w:t>。</w:t>
      </w:r>
      <w:r>
        <w:rPr>
          <w:rFonts w:eastAsia="仿宋_GB2312"/>
          <w:sz w:val="32"/>
          <w:szCs w:val="32"/>
          <w:highlight w:val="none"/>
        </w:rPr>
        <w:t>做优制造模式，依托龙头企业，进一步巩固笔记本</w:t>
      </w:r>
      <w:r>
        <w:rPr>
          <w:rFonts w:hint="eastAsia" w:eastAsia="仿宋_GB2312"/>
          <w:sz w:val="32"/>
          <w:szCs w:val="32"/>
          <w:highlight w:val="none"/>
        </w:rPr>
        <w:t>电脑</w:t>
      </w:r>
      <w:r>
        <w:rPr>
          <w:rFonts w:eastAsia="仿宋_GB2312"/>
          <w:sz w:val="32"/>
          <w:szCs w:val="32"/>
          <w:highlight w:val="none"/>
        </w:rPr>
        <w:t>、</w:t>
      </w:r>
      <w:r>
        <w:rPr>
          <w:rFonts w:hint="eastAsia" w:eastAsia="仿宋_GB2312"/>
          <w:sz w:val="32"/>
          <w:szCs w:val="32"/>
          <w:highlight w:val="none"/>
        </w:rPr>
        <w:t>台式</w:t>
      </w:r>
      <w:r>
        <w:rPr>
          <w:rFonts w:eastAsia="仿宋_GB2312"/>
          <w:sz w:val="32"/>
          <w:szCs w:val="32"/>
          <w:highlight w:val="none"/>
        </w:rPr>
        <w:t>电脑和智能手机等终端产品制造优势。支持企业深化“设计+制造”模式，提升自主创新能力，引导产业链向研发和服务两端延伸。做专自主可控领域，聚焦上下游关键环节落地，增强核心零部件供给能力，支持中高端模组等核心零部件研发，提升产业链关键环节自主可控水平。做宽相关产业链，积极布局元宇宙、智能网联汽车、车载电子、VR/AR/MR/XR、智能家居、智慧健康养老等新赛道。引进培育具有自主品牌的消费电子企业，探索建立以研发、制造、渠道、品牌为一体的消费电子生态。</w:t>
      </w:r>
    </w:p>
    <w:p>
      <w:pPr>
        <w:pStyle w:val="4"/>
        <w:spacing w:line="600" w:lineRule="exact"/>
        <w:ind w:firstLine="643" w:firstLineChars="200"/>
        <w:rPr>
          <w:rStyle w:val="23"/>
          <w:rFonts w:hint="default" w:ascii="Times New Roman" w:hAnsi="Times New Roman" w:eastAsia="仿宋_GB2312"/>
          <w:color w:val="auto"/>
          <w:sz w:val="32"/>
          <w:szCs w:val="32"/>
          <w:highlight w:val="none"/>
        </w:rPr>
      </w:pPr>
      <w:r>
        <w:rPr>
          <w:rFonts w:eastAsia="仿宋_GB2312"/>
          <w:b/>
          <w:bCs/>
          <w:sz w:val="32"/>
          <w:szCs w:val="32"/>
          <w:highlight w:val="none"/>
        </w:rPr>
        <w:t>集成电路。</w:t>
      </w:r>
      <w:r>
        <w:rPr>
          <w:rStyle w:val="23"/>
          <w:rFonts w:hint="default" w:ascii="Times New Roman" w:hAnsi="Times New Roman" w:eastAsia="仿宋_GB2312"/>
          <w:color w:val="auto"/>
          <w:sz w:val="32"/>
          <w:szCs w:val="32"/>
          <w:highlight w:val="none"/>
        </w:rPr>
        <w:t>设计端，重点发展面向云计算和人工智能的高能效计算芯片和新型存储器芯片、微机电系统（MEMS）传感器芯片、新一代功率集成电路、5G芯片、汽车电子芯片、显示驱动芯片等特色应用芯片。制造端，布局高端特色芯片，聚焦行业细分供应链，以芯片设计为核心，重点发展面向云计算和人工智能的高能效计算芯片和新型存储器芯片、5G芯片、汽车电子芯片等特色应用芯片。推动光电显示和集成电路协同发展，支持企业围绕设计研发、封装测试等领域加强科技攻关和知识产权积累，培育一批“强芯”骨干企业，着力打造国内重要的集成电路产业基地。装备与材料端，补齐短板，支持发展第三代半导体材料、晶圆、化学试剂、特种气体、靶材等关键材料，引培集成电路关键装备企业。</w:t>
      </w:r>
    </w:p>
    <w:p>
      <w:pPr>
        <w:pStyle w:val="5"/>
        <w:spacing w:line="600" w:lineRule="exact"/>
        <w:ind w:firstLine="643" w:firstLineChars="200"/>
        <w:rPr>
          <w:rStyle w:val="23"/>
          <w:rFonts w:hint="default" w:ascii="Times New Roman" w:hAnsi="Times New Roman" w:eastAsia="仿宋_GB2312"/>
          <w:color w:val="auto"/>
          <w:sz w:val="32"/>
          <w:szCs w:val="32"/>
          <w:highlight w:val="none"/>
        </w:rPr>
      </w:pPr>
      <w:r>
        <w:rPr>
          <w:rStyle w:val="23"/>
          <w:rFonts w:hint="default" w:ascii="Times New Roman" w:hAnsi="Times New Roman" w:eastAsia="仿宋_GB2312"/>
          <w:b/>
          <w:bCs/>
          <w:sz w:val="32"/>
          <w:szCs w:val="32"/>
          <w:highlight w:val="none"/>
        </w:rPr>
        <w:t>信息通信。</w:t>
      </w:r>
      <w:r>
        <w:rPr>
          <w:rStyle w:val="23"/>
          <w:rFonts w:hint="default" w:ascii="Times New Roman" w:hAnsi="Times New Roman" w:eastAsia="仿宋_GB2312"/>
          <w:color w:val="auto"/>
          <w:sz w:val="32"/>
          <w:szCs w:val="32"/>
          <w:highlight w:val="none"/>
        </w:rPr>
        <w:t>重点支持5G微波产品、终端基带芯片、5G基站用氮化镓功放芯片、5G射频芯片、5G射频前端、基站天线、功率放大器、滤波器、连接器、印制电路板（PCB）载板、5G智能模组等5G核心器件研发与产业化。推动印制电路板、基站器件等向高系统集成化、高性能化发展。加快工业级5G终端基带芯片量产，提供工业级5G定制化解决方案，为垂直行业提供多形态、多种类、多功能的终端产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5"/>
              <w:ind w:firstLine="281" w:firstLineChars="100"/>
              <w:jc w:val="center"/>
              <w:rPr>
                <w:rFonts w:eastAsia="方正黑体_GBK"/>
                <w:sz w:val="28"/>
                <w:szCs w:val="28"/>
                <w:highlight w:val="none"/>
              </w:rPr>
            </w:pPr>
            <w:r>
              <w:rPr>
                <w:rFonts w:eastAsia="仿宋_GB2312"/>
                <w:b/>
                <w:bCs/>
                <w:sz w:val="28"/>
                <w:szCs w:val="28"/>
                <w:highlight w:val="none"/>
              </w:rPr>
              <w:t>新显示产业空间布局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pStyle w:val="6"/>
              <w:spacing w:line="360" w:lineRule="exact"/>
              <w:ind w:firstLine="482"/>
              <w:rPr>
                <w:rFonts w:eastAsia="仿宋_GB2312" w:cs="Times New Roman"/>
                <w:sz w:val="24"/>
                <w:highlight w:val="none"/>
              </w:rPr>
            </w:pPr>
            <w:r>
              <w:rPr>
                <w:rFonts w:eastAsia="仿宋_GB2312" w:cs="Times New Roman"/>
                <w:b/>
                <w:bCs/>
                <w:sz w:val="24"/>
                <w:highlight w:val="none"/>
              </w:rPr>
              <w:t>光电显示。</w:t>
            </w:r>
            <w:r>
              <w:rPr>
                <w:rFonts w:eastAsia="仿宋_GB2312" w:cs="Times New Roman"/>
                <w:sz w:val="24"/>
                <w:highlight w:val="none"/>
              </w:rPr>
              <w:t>依托昆山开发区光电产业园，打造光电显示全产业链生态体系。</w:t>
            </w:r>
          </w:p>
          <w:p>
            <w:pPr>
              <w:pStyle w:val="6"/>
              <w:spacing w:line="360" w:lineRule="exact"/>
              <w:ind w:firstLine="482"/>
              <w:rPr>
                <w:rFonts w:eastAsia="仿宋_GB2312" w:cs="Times New Roman"/>
                <w:sz w:val="24"/>
                <w:highlight w:val="none"/>
              </w:rPr>
            </w:pPr>
            <w:r>
              <w:rPr>
                <w:rFonts w:eastAsia="仿宋_GB2312" w:cs="Times New Roman"/>
                <w:b/>
                <w:bCs/>
                <w:sz w:val="24"/>
                <w:highlight w:val="none"/>
              </w:rPr>
              <w:t>智能终端。</w:t>
            </w:r>
            <w:r>
              <w:rPr>
                <w:rFonts w:eastAsia="仿宋_GB2312" w:cs="Times New Roman"/>
                <w:sz w:val="24"/>
                <w:highlight w:val="none"/>
              </w:rPr>
              <w:t>发挥昆山开发区龙头带动作用，巩固笔电</w:t>
            </w:r>
            <w:r>
              <w:rPr>
                <w:rFonts w:hint="eastAsia" w:eastAsia="仿宋_GB2312" w:cs="Times New Roman"/>
                <w:sz w:val="24"/>
                <w:highlight w:val="none"/>
              </w:rPr>
              <w:t>、智能手机</w:t>
            </w:r>
            <w:r>
              <w:rPr>
                <w:rFonts w:eastAsia="仿宋_GB2312" w:cs="Times New Roman"/>
                <w:sz w:val="24"/>
                <w:highlight w:val="none"/>
              </w:rPr>
              <w:t>代加工优势，增强核心零部件供给能力，支持新型智能终端产品发展。</w:t>
            </w:r>
          </w:p>
          <w:p>
            <w:pPr>
              <w:pStyle w:val="6"/>
              <w:spacing w:line="360" w:lineRule="exact"/>
              <w:ind w:firstLine="482"/>
              <w:rPr>
                <w:rFonts w:eastAsia="仿宋_GB2312" w:cs="Times New Roman"/>
                <w:sz w:val="24"/>
                <w:highlight w:val="none"/>
              </w:rPr>
            </w:pPr>
            <w:r>
              <w:rPr>
                <w:rFonts w:eastAsia="仿宋_GB2312" w:cs="Times New Roman"/>
                <w:b/>
                <w:bCs/>
                <w:sz w:val="24"/>
                <w:highlight w:val="none"/>
              </w:rPr>
              <w:t>集成电路。</w:t>
            </w:r>
            <w:r>
              <w:rPr>
                <w:rFonts w:eastAsia="仿宋_GB2312" w:cs="Times New Roman"/>
                <w:sz w:val="24"/>
                <w:highlight w:val="none"/>
              </w:rPr>
              <w:t>依托昆山开发区、昆山高新区等，巩固封测领先优势，做强做大集成电路设计和制造，加强设备以及材料配套发展。</w:t>
            </w:r>
          </w:p>
          <w:p>
            <w:pPr>
              <w:pStyle w:val="6"/>
              <w:spacing w:line="360" w:lineRule="exact"/>
              <w:ind w:firstLine="482"/>
              <w:rPr>
                <w:rFonts w:eastAsia="方正仿宋_GBK" w:cs="Times New Roman"/>
                <w:sz w:val="28"/>
                <w:szCs w:val="28"/>
                <w:highlight w:val="none"/>
              </w:rPr>
            </w:pPr>
            <w:r>
              <w:rPr>
                <w:rFonts w:eastAsia="仿宋_GB2312" w:cs="Times New Roman"/>
                <w:b/>
                <w:bCs/>
                <w:sz w:val="24"/>
                <w:szCs w:val="24"/>
                <w:highlight w:val="none"/>
              </w:rPr>
              <w:t>信息通信。</w:t>
            </w:r>
            <w:r>
              <w:rPr>
                <w:rFonts w:eastAsia="仿宋_GB2312" w:cs="Times New Roman"/>
                <w:sz w:val="24"/>
                <w:szCs w:val="24"/>
                <w:highlight w:val="none"/>
              </w:rPr>
              <w:t>支持昆山高新区推动工业级5G终端基带芯片、氮化镓功放芯片、5G射频芯片、基站天线等5G核心器件研发和产业化。支持昆山开发区、旅游度假区等地发展5G相关通信器件。</w:t>
            </w:r>
          </w:p>
        </w:tc>
      </w:tr>
    </w:tbl>
    <w:p>
      <w:pPr>
        <w:pStyle w:val="5"/>
        <w:rPr>
          <w:highlight w:val="none"/>
        </w:rPr>
      </w:pPr>
    </w:p>
    <w:bookmarkEnd w:id="231"/>
    <w:p>
      <w:pPr>
        <w:pStyle w:val="4"/>
        <w:spacing w:line="600" w:lineRule="exact"/>
        <w:ind w:firstLine="643" w:firstLineChars="200"/>
        <w:outlineLvl w:val="2"/>
        <w:rPr>
          <w:rFonts w:eastAsia="仿宋_GB2312"/>
          <w:b/>
          <w:bCs/>
          <w:color w:val="000000"/>
          <w:kern w:val="0"/>
          <w:sz w:val="32"/>
          <w:szCs w:val="32"/>
          <w:highlight w:val="none"/>
        </w:rPr>
      </w:pPr>
      <w:bookmarkStart w:id="233" w:name="_Toc12979"/>
      <w:r>
        <w:rPr>
          <w:rFonts w:eastAsia="仿宋_GB2312"/>
          <w:b/>
          <w:bCs/>
          <w:color w:val="000000"/>
          <w:kern w:val="0"/>
          <w:sz w:val="32"/>
          <w:szCs w:val="32"/>
          <w:highlight w:val="none"/>
        </w:rPr>
        <w:t>2.新智造</w:t>
      </w:r>
      <w:bookmarkEnd w:id="233"/>
    </w:p>
    <w:p>
      <w:pPr>
        <w:pStyle w:val="4"/>
        <w:spacing w:line="600" w:lineRule="exact"/>
        <w:ind w:firstLine="640" w:firstLineChars="200"/>
        <w:rPr>
          <w:rFonts w:eastAsia="仿宋_GB2312"/>
          <w:sz w:val="32"/>
          <w:szCs w:val="32"/>
          <w:highlight w:val="none"/>
        </w:rPr>
      </w:pPr>
      <w:r>
        <w:rPr>
          <w:rFonts w:eastAsia="仿宋_GB2312"/>
          <w:sz w:val="32"/>
          <w:szCs w:val="32"/>
          <w:highlight w:val="none"/>
        </w:rPr>
        <w:t>以高端化、智能化为方向，提升有效供给能力，做强做大智能装备、智能机器人和工程机械，培育发展航空航天潜力领域，夯实关键基础件制造实力，</w:t>
      </w:r>
      <w:r>
        <w:rPr>
          <w:rFonts w:hint="eastAsia" w:eastAsia="仿宋_GB2312"/>
          <w:sz w:val="32"/>
          <w:szCs w:val="32"/>
          <w:highlight w:val="none"/>
        </w:rPr>
        <w:t>靶向发力做强高端食品制造，</w:t>
      </w:r>
      <w:r>
        <w:rPr>
          <w:rFonts w:eastAsia="仿宋_GB2312"/>
          <w:sz w:val="32"/>
          <w:szCs w:val="32"/>
          <w:highlight w:val="none"/>
        </w:rPr>
        <w:t>打造技术领先、长三角知名的千亿级新智造产业集群。</w:t>
      </w:r>
    </w:p>
    <w:p>
      <w:pPr>
        <w:pStyle w:val="4"/>
        <w:spacing w:line="600" w:lineRule="exact"/>
        <w:ind w:firstLine="643" w:firstLineChars="200"/>
        <w:rPr>
          <w:rFonts w:eastAsia="仿宋_GB2312"/>
          <w:sz w:val="32"/>
          <w:szCs w:val="32"/>
          <w:highlight w:val="none"/>
        </w:rPr>
      </w:pPr>
      <w:r>
        <w:rPr>
          <w:rFonts w:eastAsia="仿宋_GB2312"/>
          <w:b/>
          <w:sz w:val="32"/>
          <w:szCs w:val="32"/>
          <w:highlight w:val="none"/>
        </w:rPr>
        <w:t>智能装备。</w:t>
      </w:r>
      <w:r>
        <w:rPr>
          <w:rFonts w:eastAsia="楷体_GB2312"/>
          <w:bCs/>
          <w:sz w:val="32"/>
          <w:szCs w:val="32"/>
          <w:highlight w:val="none"/>
        </w:rPr>
        <w:t>高档数控机床</w:t>
      </w:r>
      <w:r>
        <w:rPr>
          <w:rFonts w:eastAsia="仿宋_GB2312"/>
          <w:bCs/>
          <w:sz w:val="32"/>
          <w:szCs w:val="32"/>
          <w:highlight w:val="none"/>
        </w:rPr>
        <w:t>。加强亚微米级加工、叶片铣削加工、高精密液压等核心技术攻关，支持数控系统持续研发和升级，</w:t>
      </w:r>
      <w:r>
        <w:rPr>
          <w:rFonts w:eastAsia="仿宋_GB2312"/>
          <w:sz w:val="32"/>
          <w:szCs w:val="32"/>
          <w:highlight w:val="none"/>
        </w:rPr>
        <w:t>推动激光切割机床、金属成形机床等高端数控机床高精度、智能化、功能复合化发展</w:t>
      </w:r>
      <w:r>
        <w:rPr>
          <w:rFonts w:eastAsia="仿宋_GB2312"/>
          <w:bCs/>
          <w:sz w:val="32"/>
          <w:szCs w:val="32"/>
          <w:highlight w:val="none"/>
        </w:rPr>
        <w:t>。</w:t>
      </w:r>
      <w:r>
        <w:rPr>
          <w:rFonts w:eastAsia="楷体_GB2312"/>
          <w:color w:val="000000"/>
          <w:sz w:val="32"/>
          <w:szCs w:val="32"/>
          <w:highlight w:val="none"/>
        </w:rPr>
        <w:t>智能成套设备（产线）</w:t>
      </w:r>
      <w:r>
        <w:rPr>
          <w:rFonts w:eastAsia="仿宋_GB2312"/>
          <w:bCs/>
          <w:color w:val="000000"/>
          <w:sz w:val="32"/>
          <w:szCs w:val="32"/>
          <w:highlight w:val="none"/>
        </w:rPr>
        <w:t>。</w:t>
      </w:r>
      <w:r>
        <w:rPr>
          <w:rFonts w:eastAsia="仿宋_GB2312"/>
          <w:sz w:val="32"/>
          <w:szCs w:val="32"/>
          <w:highlight w:val="none"/>
        </w:rPr>
        <w:t>围绕机械、电子、汽车、航空航天、食品加工等行业智能化转型需求，</w:t>
      </w:r>
      <w:r>
        <w:rPr>
          <w:rFonts w:eastAsia="仿宋_GB2312"/>
          <w:bCs/>
          <w:color w:val="000000"/>
          <w:sz w:val="32"/>
          <w:szCs w:val="32"/>
          <w:highlight w:val="none"/>
        </w:rPr>
        <w:t>重</w:t>
      </w:r>
      <w:r>
        <w:rPr>
          <w:rFonts w:eastAsia="仿宋_GB2312"/>
          <w:sz w:val="32"/>
          <w:szCs w:val="32"/>
          <w:highlight w:val="none"/>
        </w:rPr>
        <w:t>点发展切割与机加工、包装灌装、传感控制、检测装配、物流配送等高性能智能成套装备（产线）。</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智能机器人。</w:t>
      </w:r>
      <w:r>
        <w:rPr>
          <w:rFonts w:eastAsia="仿宋_GB2312"/>
          <w:sz w:val="32"/>
          <w:szCs w:val="32"/>
          <w:highlight w:val="none"/>
        </w:rPr>
        <w:t>重点发展焊接、装配、喷涂、搬运、检测等工业机器人；应用在微加工、医疗、航空航天等领域的毫米级机器人；社会公共服务、家用服务、医疗服务等服务机器人；适应小批量定制、个性化制造、柔性制造的可协作、并联的新一代机器人。支持高精密减速器、高速高性能控制器、高性能伺服电机及驱动器等核心零部件研发。</w:t>
      </w:r>
    </w:p>
    <w:p>
      <w:pPr>
        <w:spacing w:line="600" w:lineRule="exact"/>
        <w:ind w:firstLine="643" w:firstLineChars="200"/>
        <w:rPr>
          <w:rFonts w:eastAsia="仿宋_GB2312"/>
          <w:sz w:val="32"/>
          <w:szCs w:val="32"/>
          <w:highlight w:val="none"/>
        </w:rPr>
      </w:pPr>
      <w:r>
        <w:rPr>
          <w:rFonts w:eastAsia="仿宋_GB2312"/>
          <w:b/>
          <w:bCs/>
          <w:sz w:val="32"/>
          <w:szCs w:val="32"/>
          <w:highlight w:val="none"/>
        </w:rPr>
        <w:t>航空航天。</w:t>
      </w:r>
      <w:r>
        <w:rPr>
          <w:rFonts w:eastAsia="仿宋_GB2312"/>
          <w:sz w:val="32"/>
          <w:szCs w:val="32"/>
          <w:highlight w:val="none"/>
        </w:rPr>
        <w:t>着力突破微电子、总线技术、容错技术和电传控制技术等关键技术，</w:t>
      </w:r>
      <w:r>
        <w:rPr>
          <w:rFonts w:eastAsia="仿宋_GB2312"/>
          <w:color w:val="000000"/>
          <w:sz w:val="32"/>
          <w:szCs w:val="32"/>
          <w:highlight w:val="none"/>
        </w:rPr>
        <w:t>加快飞机起落架零部件、引擎零部件、空气管理系统零部件等可控规模化制备，发展导航设备、遥控遥测系统、微型传感器、惯性器件等航空电子产品，</w:t>
      </w:r>
      <w:r>
        <w:rPr>
          <w:rFonts w:eastAsia="仿宋_GB2312"/>
          <w:sz w:val="32"/>
          <w:szCs w:val="32"/>
          <w:highlight w:val="none"/>
        </w:rPr>
        <w:t>积极融入国产大飞机配套产业链。支持宇航级高可靠性器件和芯片</w:t>
      </w:r>
      <w:r>
        <w:rPr>
          <w:rFonts w:eastAsia="仿宋_GB2312"/>
          <w:color w:val="000000"/>
          <w:sz w:val="32"/>
          <w:szCs w:val="32"/>
          <w:highlight w:val="none"/>
        </w:rPr>
        <w:t>研制</w:t>
      </w:r>
      <w:r>
        <w:rPr>
          <w:rFonts w:eastAsia="仿宋_GB2312"/>
          <w:sz w:val="32"/>
          <w:szCs w:val="32"/>
          <w:highlight w:val="none"/>
        </w:rPr>
        <w:t>，开展全等轴晶铸锭等关键材料攻关，推进</w:t>
      </w:r>
      <w:r>
        <w:rPr>
          <w:rFonts w:eastAsia="仿宋_GB2312"/>
          <w:color w:val="000000"/>
          <w:sz w:val="32"/>
          <w:szCs w:val="32"/>
          <w:highlight w:val="none"/>
        </w:rPr>
        <w:t>航空航天领域连续液态金属增材制造研发及产业化。</w:t>
      </w:r>
      <w:r>
        <w:rPr>
          <w:rFonts w:eastAsia="仿宋_GB2312"/>
          <w:sz w:val="32"/>
          <w:szCs w:val="32"/>
          <w:highlight w:val="none"/>
        </w:rPr>
        <w:t>推动商用无人运输机系统产业化，</w:t>
      </w:r>
      <w:r>
        <w:rPr>
          <w:rFonts w:hint="eastAsia" w:eastAsia="仿宋_GB2312"/>
          <w:sz w:val="32"/>
          <w:szCs w:val="32"/>
          <w:highlight w:val="none"/>
        </w:rPr>
        <w:t>构建</w:t>
      </w:r>
      <w:r>
        <w:rPr>
          <w:rFonts w:eastAsia="仿宋_GB2312"/>
          <w:sz w:val="32"/>
          <w:szCs w:val="32"/>
          <w:highlight w:val="none"/>
        </w:rPr>
        <w:t>空地一体通信与信息管理网络、机场及运营服务网络等地面系统解决方案，打造自主可控的无人航空高端装备制造产业基地。</w:t>
      </w:r>
      <w:r>
        <w:rPr>
          <w:rFonts w:hint="eastAsia" w:eastAsia="仿宋_GB2312"/>
          <w:sz w:val="32"/>
          <w:szCs w:val="32"/>
          <w:highlight w:val="none"/>
        </w:rPr>
        <w:t>结合国内无人机产业优势，重点发力低空飞行航空器及零部件制造，加速航空器与各类社会生产融合，促进低空物流、低空游览、短途运输等低空业态发展，强化应急、医疗、政务等公共领域低空服务。</w:t>
      </w:r>
    </w:p>
    <w:p>
      <w:pPr>
        <w:pStyle w:val="4"/>
        <w:ind w:firstLine="643" w:firstLineChars="200"/>
        <w:rPr>
          <w:rFonts w:eastAsia="仿宋_GB2312"/>
          <w:sz w:val="32"/>
          <w:szCs w:val="32"/>
          <w:highlight w:val="none"/>
        </w:rPr>
      </w:pPr>
      <w:r>
        <w:rPr>
          <w:rFonts w:hint="eastAsia" w:eastAsia="仿宋_GB2312"/>
          <w:b/>
          <w:bCs/>
          <w:sz w:val="32"/>
          <w:szCs w:val="32"/>
          <w:highlight w:val="none"/>
        </w:rPr>
        <w:t>高端</w:t>
      </w:r>
      <w:r>
        <w:rPr>
          <w:rFonts w:eastAsia="仿宋_GB2312"/>
          <w:b/>
          <w:bCs/>
          <w:sz w:val="32"/>
          <w:szCs w:val="32"/>
          <w:highlight w:val="none"/>
        </w:rPr>
        <w:t>食品制造</w:t>
      </w:r>
      <w:r>
        <w:rPr>
          <w:rFonts w:eastAsia="仿宋_GB2312"/>
          <w:sz w:val="32"/>
          <w:szCs w:val="32"/>
          <w:highlight w:val="none"/>
        </w:rPr>
        <w:t>。</w:t>
      </w:r>
      <w:r>
        <w:rPr>
          <w:rFonts w:hint="eastAsia" w:eastAsia="仿宋_GB2312"/>
          <w:sz w:val="32"/>
          <w:szCs w:val="32"/>
          <w:highlight w:val="none"/>
          <w:lang w:val="en-US" w:eastAsia="zh-CN"/>
        </w:rPr>
        <w:t>支持益海嘉里、统一食品等布局中央厨房、主食加工等业态；支持星巴克咖啡、瑞幸咖啡、</w:t>
      </w:r>
      <w:r>
        <w:rPr>
          <w:rFonts w:hint="default" w:ascii="Times New Roman Regular" w:hAnsi="Times New Roman Regular" w:eastAsia="仿宋_GB2312" w:cs="Times New Roman Regular"/>
          <w:sz w:val="32"/>
          <w:szCs w:val="32"/>
          <w:highlight w:val="none"/>
          <w:lang w:val="en-US" w:eastAsia="zh-CN"/>
        </w:rPr>
        <w:t>优诺乳业</w:t>
      </w:r>
      <w:r>
        <w:rPr>
          <w:rFonts w:hint="eastAsia" w:eastAsia="仿宋_GB2312"/>
          <w:sz w:val="32"/>
          <w:szCs w:val="32"/>
          <w:highlight w:val="none"/>
          <w:lang w:val="en-US" w:eastAsia="zh-CN"/>
        </w:rPr>
        <w:t>等着力推广使用咖啡加工新技术、新设备，扩宽咖啡产品种类；支持利乐包装、乐美包装等大力发展</w:t>
      </w:r>
      <w:r>
        <w:rPr>
          <w:rFonts w:hint="eastAsia" w:eastAsia="仿宋_GB2312"/>
          <w:sz w:val="32"/>
          <w:szCs w:val="32"/>
          <w:highlight w:val="none"/>
        </w:rPr>
        <w:t>包装</w:t>
      </w:r>
      <w:r>
        <w:rPr>
          <w:rFonts w:hint="eastAsia" w:eastAsia="仿宋_GB2312"/>
          <w:sz w:val="32"/>
          <w:szCs w:val="32"/>
          <w:highlight w:val="none"/>
          <w:lang w:val="en-US" w:eastAsia="zh-CN"/>
        </w:rPr>
        <w:t>新</w:t>
      </w:r>
      <w:r>
        <w:rPr>
          <w:rFonts w:hint="eastAsia" w:eastAsia="仿宋_GB2312"/>
          <w:sz w:val="32"/>
          <w:szCs w:val="32"/>
          <w:highlight w:val="none"/>
        </w:rPr>
        <w:t>技术研发</w:t>
      </w:r>
      <w:r>
        <w:rPr>
          <w:rFonts w:hint="eastAsia" w:eastAsia="仿宋_GB2312"/>
          <w:sz w:val="32"/>
          <w:szCs w:val="32"/>
          <w:highlight w:val="none"/>
          <w:lang w:eastAsia="zh-CN"/>
        </w:rPr>
        <w:t>。</w:t>
      </w:r>
      <w:r>
        <w:rPr>
          <w:rFonts w:eastAsia="仿宋_GB2312"/>
          <w:sz w:val="32"/>
          <w:szCs w:val="32"/>
          <w:highlight w:val="none"/>
        </w:rPr>
        <w:t>依托装备产业</w:t>
      </w:r>
      <w:r>
        <w:rPr>
          <w:rFonts w:hint="eastAsia" w:eastAsia="仿宋_GB2312"/>
          <w:sz w:val="32"/>
          <w:szCs w:val="32"/>
          <w:highlight w:val="none"/>
          <w:lang w:val="en-US" w:eastAsia="zh-CN"/>
        </w:rPr>
        <w:t>资源优势，</w:t>
      </w:r>
      <w:r>
        <w:rPr>
          <w:rFonts w:eastAsia="仿宋_GB2312"/>
          <w:sz w:val="32"/>
          <w:szCs w:val="32"/>
          <w:highlight w:val="none"/>
        </w:rPr>
        <w:t>重点开展食品加工制造过程品质参数的原位感知以及人工智能等关键技术与装备</w:t>
      </w:r>
      <w:r>
        <w:rPr>
          <w:rFonts w:hint="eastAsia" w:eastAsia="仿宋_GB2312"/>
          <w:sz w:val="32"/>
          <w:szCs w:val="32"/>
          <w:highlight w:val="none"/>
        </w:rPr>
        <w:t>研发</w:t>
      </w:r>
      <w:r>
        <w:rPr>
          <w:rFonts w:hint="eastAsia" w:eastAsia="仿宋_GB2312"/>
          <w:sz w:val="32"/>
          <w:szCs w:val="32"/>
          <w:highlight w:val="none"/>
          <w:lang w:eastAsia="zh-CN"/>
        </w:rPr>
        <w:t>；</w:t>
      </w:r>
      <w:r>
        <w:rPr>
          <w:rFonts w:hint="eastAsia" w:eastAsia="仿宋_GB2312"/>
          <w:sz w:val="32"/>
          <w:szCs w:val="32"/>
          <w:highlight w:val="none"/>
          <w:lang w:val="en-US" w:eastAsia="zh-CN"/>
        </w:rPr>
        <w:t>聚焦</w:t>
      </w:r>
      <w:r>
        <w:rPr>
          <w:rFonts w:eastAsia="仿宋_GB2312"/>
          <w:sz w:val="32"/>
          <w:szCs w:val="32"/>
          <w:highlight w:val="none"/>
        </w:rPr>
        <w:t>食品装备智能控制系统及应用软件、故障诊断软件</w:t>
      </w:r>
      <w:r>
        <w:rPr>
          <w:rFonts w:hint="eastAsia" w:eastAsia="仿宋_GB2312"/>
          <w:sz w:val="32"/>
          <w:szCs w:val="32"/>
          <w:highlight w:val="none"/>
        </w:rPr>
        <w:t>及</w:t>
      </w:r>
      <w:r>
        <w:rPr>
          <w:rFonts w:eastAsia="仿宋_GB2312"/>
          <w:sz w:val="32"/>
          <w:szCs w:val="32"/>
          <w:highlight w:val="none"/>
        </w:rPr>
        <w:t>普适性强的食品分拣、装箱、码垛、卸垛包装智能机器人</w:t>
      </w:r>
      <w:r>
        <w:rPr>
          <w:rFonts w:hint="eastAsia" w:eastAsia="仿宋_GB2312"/>
          <w:sz w:val="32"/>
          <w:szCs w:val="32"/>
          <w:highlight w:val="none"/>
          <w:lang w:eastAsia="zh-CN"/>
        </w:rPr>
        <w:t>，</w:t>
      </w:r>
      <w:r>
        <w:rPr>
          <w:rFonts w:hint="eastAsia" w:eastAsia="仿宋_GB2312"/>
          <w:sz w:val="32"/>
          <w:szCs w:val="32"/>
          <w:highlight w:val="none"/>
          <w:lang w:val="en-US" w:eastAsia="zh-CN"/>
        </w:rPr>
        <w:t>提升高端食品产业链水平。</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工程机械。</w:t>
      </w:r>
      <w:r>
        <w:rPr>
          <w:rFonts w:eastAsia="仿宋_GB2312"/>
          <w:sz w:val="32"/>
          <w:szCs w:val="32"/>
          <w:highlight w:val="none"/>
        </w:rPr>
        <w:t>重点发展挖掘机、桩工机械、起重机械、叉车等工程机械。根据市场差异化的需求，支持发展小型挖掘机、小型路面机、小型装载机，推动工程机械轻量化发展。加快发动机、液压件、传动件、控制系统等核心关键零部件研发和产业化，提升产业链配套水平。</w:t>
      </w:r>
    </w:p>
    <w:p>
      <w:pPr>
        <w:pStyle w:val="4"/>
        <w:adjustRightInd w:val="0"/>
        <w:snapToGrid w:val="0"/>
        <w:spacing w:line="600" w:lineRule="exact"/>
        <w:ind w:firstLine="643" w:firstLineChars="200"/>
        <w:rPr>
          <w:rFonts w:eastAsia="仿宋_GB2312"/>
          <w:sz w:val="32"/>
          <w:szCs w:val="32"/>
          <w:highlight w:val="none"/>
        </w:rPr>
      </w:pPr>
      <w:r>
        <w:rPr>
          <w:rFonts w:eastAsia="仿宋_GB2312"/>
          <w:b/>
          <w:bCs/>
          <w:sz w:val="32"/>
          <w:szCs w:val="32"/>
          <w:highlight w:val="none"/>
        </w:rPr>
        <w:t>关键基础件。</w:t>
      </w:r>
      <w:r>
        <w:rPr>
          <w:rFonts w:eastAsia="仿宋_GB2312"/>
          <w:sz w:val="32"/>
          <w:szCs w:val="32"/>
          <w:highlight w:val="none"/>
        </w:rPr>
        <w:t>着力突破高精密度、超细超精等加工技术，进一步提升精密化、定制化水平，重点发展应用于智能终端、高端装备、医疗器械、汽车零部件的精密模具、大型复杂件模具等高端模具部件，做强做优集模具研发、制造、销售、模具材料和设备供应、交易于一体的细分产业链。</w:t>
      </w:r>
    </w:p>
    <w:p>
      <w:pPr>
        <w:pStyle w:val="5"/>
        <w:rPr>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8522" w:type="dxa"/>
          </w:tcPr>
          <w:p>
            <w:pPr>
              <w:pStyle w:val="5"/>
              <w:ind w:firstLine="281" w:firstLineChars="100"/>
              <w:jc w:val="center"/>
              <w:rPr>
                <w:rFonts w:eastAsia="方正黑体_GBK"/>
                <w:sz w:val="28"/>
                <w:szCs w:val="28"/>
                <w:highlight w:val="none"/>
              </w:rPr>
            </w:pPr>
            <w:r>
              <w:rPr>
                <w:rFonts w:eastAsia="仿宋_GB2312"/>
                <w:b/>
                <w:bCs/>
                <w:sz w:val="28"/>
                <w:szCs w:val="28"/>
                <w:highlight w:val="none"/>
              </w:rPr>
              <w:t>新智造产业空间布局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6"/>
              <w:spacing w:line="360" w:lineRule="exact"/>
              <w:ind w:firstLine="482"/>
              <w:rPr>
                <w:rFonts w:eastAsia="仿宋_GB2312" w:cs="Times New Roman"/>
                <w:sz w:val="24"/>
                <w:szCs w:val="24"/>
                <w:highlight w:val="none"/>
              </w:rPr>
            </w:pPr>
            <w:r>
              <w:rPr>
                <w:rFonts w:eastAsia="仿宋_GB2312" w:cs="Times New Roman"/>
                <w:b/>
                <w:bCs/>
                <w:sz w:val="24"/>
                <w:szCs w:val="24"/>
                <w:highlight w:val="none"/>
              </w:rPr>
              <w:t>智能装备。</w:t>
            </w:r>
            <w:r>
              <w:rPr>
                <w:rFonts w:eastAsia="仿宋_GB2312" w:cs="Times New Roman"/>
                <w:sz w:val="24"/>
                <w:szCs w:val="24"/>
                <w:highlight w:val="none"/>
              </w:rPr>
              <w:t>支持昆山高新区、周市高端装备制造产业基地等，重点发展精密多轴数控机床、智能成套装备等智能装备。</w:t>
            </w:r>
          </w:p>
          <w:p>
            <w:pPr>
              <w:pStyle w:val="6"/>
              <w:spacing w:line="360" w:lineRule="exact"/>
              <w:ind w:firstLine="482"/>
              <w:rPr>
                <w:rFonts w:eastAsia="仿宋_GB2312" w:cs="Times New Roman"/>
                <w:sz w:val="24"/>
                <w:szCs w:val="24"/>
                <w:highlight w:val="none"/>
              </w:rPr>
            </w:pPr>
            <w:r>
              <w:rPr>
                <w:rFonts w:eastAsia="仿宋_GB2312" w:cs="Times New Roman"/>
                <w:b/>
                <w:bCs/>
                <w:sz w:val="24"/>
                <w:szCs w:val="24"/>
                <w:highlight w:val="none"/>
              </w:rPr>
              <w:t>智能机器人。</w:t>
            </w:r>
            <w:r>
              <w:rPr>
                <w:rFonts w:eastAsia="仿宋_GB2312" w:cs="Times New Roman"/>
                <w:sz w:val="24"/>
                <w:szCs w:val="24"/>
                <w:highlight w:val="none"/>
              </w:rPr>
              <w:t>支持昆山高新区机器人产业基地优化运营模式，引培重大项目，进一步巩固零部件制造、系统集成优势，做强做大智能机器人产业。</w:t>
            </w:r>
          </w:p>
          <w:p>
            <w:pPr>
              <w:ind w:firstLine="482" w:firstLineChars="200"/>
              <w:rPr>
                <w:rFonts w:hint="eastAsia"/>
                <w:highlight w:val="none"/>
              </w:rPr>
            </w:pPr>
            <w:r>
              <w:rPr>
                <w:rFonts w:hint="eastAsia" w:eastAsia="仿宋_GB2312"/>
                <w:b/>
                <w:bCs/>
                <w:sz w:val="24"/>
                <w:highlight w:val="none"/>
              </w:rPr>
              <w:t>高端食品制造</w:t>
            </w:r>
            <w:r>
              <w:rPr>
                <w:rFonts w:eastAsia="仿宋_GB2312"/>
                <w:b/>
                <w:bCs/>
                <w:sz w:val="24"/>
                <w:highlight w:val="none"/>
              </w:rPr>
              <w:t>。</w:t>
            </w:r>
            <w:r>
              <w:rPr>
                <w:rFonts w:eastAsia="仿宋_GB2312"/>
                <w:sz w:val="24"/>
                <w:highlight w:val="none"/>
              </w:rPr>
              <w:t>支持昆山</w:t>
            </w:r>
            <w:r>
              <w:rPr>
                <w:rFonts w:hint="eastAsia" w:eastAsia="仿宋_GB2312"/>
                <w:sz w:val="24"/>
                <w:highlight w:val="none"/>
              </w:rPr>
              <w:t>开发区</w:t>
            </w:r>
            <w:r>
              <w:rPr>
                <w:rFonts w:eastAsia="仿宋_GB2312"/>
                <w:sz w:val="24"/>
                <w:highlight w:val="none"/>
              </w:rPr>
              <w:t>、</w:t>
            </w:r>
            <w:r>
              <w:rPr>
                <w:rFonts w:hint="eastAsia" w:eastAsia="仿宋_GB2312"/>
                <w:sz w:val="24"/>
                <w:highlight w:val="none"/>
              </w:rPr>
              <w:t>张浦镇</w:t>
            </w:r>
            <w:r>
              <w:rPr>
                <w:rFonts w:hint="eastAsia" w:eastAsia="仿宋_GB2312"/>
                <w:sz w:val="24"/>
                <w:highlight w:val="none"/>
                <w:lang w:val="en-US" w:eastAsia="zh-CN"/>
              </w:rPr>
              <w:t>等</w:t>
            </w:r>
            <w:r>
              <w:rPr>
                <w:rFonts w:hint="eastAsia" w:eastAsia="仿宋_GB2312"/>
                <w:sz w:val="24"/>
                <w:highlight w:val="none"/>
              </w:rPr>
              <w:t>食品产业园</w:t>
            </w:r>
            <w:r>
              <w:rPr>
                <w:rFonts w:eastAsia="仿宋_GB2312"/>
                <w:sz w:val="24"/>
                <w:highlight w:val="none"/>
              </w:rPr>
              <w:t>等，</w:t>
            </w:r>
            <w:r>
              <w:rPr>
                <w:rFonts w:hint="eastAsia" w:eastAsia="仿宋_GB2312"/>
                <w:sz w:val="24"/>
                <w:highlight w:val="none"/>
              </w:rPr>
              <w:t>提升精深加工水平，延伸食品产业链，大力培育食品龙头企业。</w:t>
            </w:r>
          </w:p>
          <w:p>
            <w:pPr>
              <w:pStyle w:val="6"/>
              <w:spacing w:line="360" w:lineRule="exact"/>
              <w:ind w:firstLine="482"/>
              <w:rPr>
                <w:rFonts w:eastAsia="仿宋_GB2312" w:cs="Times New Roman"/>
                <w:sz w:val="24"/>
                <w:szCs w:val="24"/>
                <w:highlight w:val="none"/>
              </w:rPr>
            </w:pPr>
            <w:r>
              <w:rPr>
                <w:rFonts w:eastAsia="仿宋_GB2312" w:cs="Times New Roman"/>
                <w:b/>
                <w:bCs/>
                <w:sz w:val="24"/>
                <w:szCs w:val="24"/>
                <w:highlight w:val="none"/>
              </w:rPr>
              <w:t>工程机械。</w:t>
            </w:r>
            <w:r>
              <w:rPr>
                <w:rFonts w:eastAsia="仿宋_GB2312" w:cs="Times New Roman"/>
                <w:sz w:val="24"/>
                <w:szCs w:val="24"/>
                <w:highlight w:val="none"/>
              </w:rPr>
              <w:t>支持昆山开发区三一重机产业园巩固挖掘机系列产品优势，推动产品高端化、智能化、特色化发展。</w:t>
            </w:r>
          </w:p>
          <w:p>
            <w:pPr>
              <w:pStyle w:val="6"/>
              <w:spacing w:line="360" w:lineRule="exact"/>
              <w:ind w:firstLine="482"/>
              <w:rPr>
                <w:rFonts w:hint="eastAsia" w:eastAsia="仿宋_GB2312" w:cs="Times New Roman"/>
                <w:sz w:val="24"/>
                <w:szCs w:val="24"/>
                <w:highlight w:val="none"/>
              </w:rPr>
            </w:pPr>
            <w:r>
              <w:rPr>
                <w:rFonts w:eastAsia="仿宋_GB2312" w:cs="Times New Roman"/>
                <w:b/>
                <w:bCs/>
                <w:sz w:val="24"/>
                <w:szCs w:val="24"/>
                <w:highlight w:val="none"/>
              </w:rPr>
              <w:t>关键基础件。</w:t>
            </w:r>
            <w:r>
              <w:rPr>
                <w:rFonts w:eastAsia="仿宋_GB2312" w:cs="Times New Roman"/>
                <w:sz w:val="24"/>
                <w:szCs w:val="24"/>
                <w:highlight w:val="none"/>
              </w:rPr>
              <w:t>支持昆山模具产业基地重点发展汽车零部件、智能手机、智能装备、精密医疗器械等高端模具，推进模具制造生态圈建设。支持张浦镇、巴城镇等培育一批精密制造骨干企业。</w:t>
            </w:r>
          </w:p>
        </w:tc>
      </w:tr>
    </w:tbl>
    <w:p>
      <w:pPr>
        <w:rPr>
          <w:highlight w:val="none"/>
        </w:rPr>
      </w:pPr>
      <w:bookmarkStart w:id="234" w:name="_Toc15255"/>
      <w:bookmarkStart w:id="235" w:name="_Toc6456"/>
      <w:bookmarkStart w:id="236" w:name="_Toc81518452"/>
      <w:bookmarkStart w:id="237" w:name="_Toc84829662"/>
      <w:bookmarkStart w:id="238" w:name="_Toc12980"/>
      <w:bookmarkStart w:id="239" w:name="_Toc12208"/>
      <w:bookmarkStart w:id="240" w:name="_Toc5005"/>
      <w:bookmarkStart w:id="241" w:name="_Toc3158"/>
      <w:bookmarkStart w:id="242" w:name="_Toc2888"/>
      <w:bookmarkStart w:id="243" w:name="_Toc26986"/>
      <w:bookmarkStart w:id="244" w:name="_Toc20352"/>
      <w:bookmarkStart w:id="245" w:name="_Toc88424329"/>
      <w:bookmarkStart w:id="246" w:name="_Toc21485"/>
      <w:bookmarkStart w:id="247" w:name="_Toc25543"/>
      <w:bookmarkStart w:id="248" w:name="_Toc3"/>
      <w:bookmarkStart w:id="249" w:name="_Toc78802170"/>
      <w:bookmarkStart w:id="250" w:name="_Toc28099"/>
    </w:p>
    <w:bookmarkEnd w:id="234"/>
    <w:bookmarkEnd w:id="235"/>
    <w:bookmarkEnd w:id="236"/>
    <w:bookmarkEnd w:id="237"/>
    <w:bookmarkEnd w:id="238"/>
    <w:bookmarkEnd w:id="239"/>
    <w:p>
      <w:pPr>
        <w:pStyle w:val="4"/>
        <w:spacing w:line="600" w:lineRule="exact"/>
        <w:ind w:firstLine="643" w:firstLineChars="200"/>
        <w:outlineLvl w:val="2"/>
        <w:rPr>
          <w:rFonts w:eastAsia="仿宋_GB2312"/>
          <w:b/>
          <w:bCs/>
          <w:color w:val="000000"/>
          <w:kern w:val="0"/>
          <w:sz w:val="32"/>
          <w:szCs w:val="32"/>
          <w:highlight w:val="none"/>
        </w:rPr>
      </w:pPr>
      <w:bookmarkStart w:id="251" w:name="_Toc5934"/>
      <w:r>
        <w:rPr>
          <w:rFonts w:eastAsia="仿宋_GB2312"/>
          <w:b/>
          <w:bCs/>
          <w:color w:val="000000"/>
          <w:kern w:val="0"/>
          <w:sz w:val="32"/>
          <w:szCs w:val="32"/>
          <w:highlight w:val="none"/>
        </w:rPr>
        <w:t>3.新医疗</w:t>
      </w:r>
      <w:bookmarkEnd w:id="240"/>
      <w:bookmarkEnd w:id="241"/>
      <w:bookmarkEnd w:id="242"/>
      <w:bookmarkEnd w:id="243"/>
      <w:bookmarkEnd w:id="244"/>
      <w:bookmarkEnd w:id="245"/>
      <w:bookmarkEnd w:id="251"/>
    </w:p>
    <w:p>
      <w:pPr>
        <w:spacing w:line="600" w:lineRule="exact"/>
        <w:ind w:firstLine="640" w:firstLineChars="200"/>
        <w:rPr>
          <w:rFonts w:eastAsia="仿宋_GB2312"/>
          <w:sz w:val="32"/>
          <w:szCs w:val="32"/>
          <w:highlight w:val="none"/>
        </w:rPr>
      </w:pPr>
      <w:r>
        <w:rPr>
          <w:rFonts w:eastAsia="仿宋_GB2312"/>
          <w:sz w:val="32"/>
          <w:szCs w:val="32"/>
          <w:highlight w:val="none"/>
        </w:rPr>
        <w:t>以成果转化、规模提升为方向，深化实施“四医联动”工程，大力发展生物医药、医疗器械、医疗服务、医疗医美等产业，提升小核酸药物产业全球创新引领力，推动创新药特色化发展，建设高端医疗器械研创集聚区，推动发展医养健康产业，打造创新引领的千亿级新医疗产业集群。</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高端医疗器械。</w:t>
      </w:r>
      <w:r>
        <w:rPr>
          <w:rFonts w:eastAsia="仿宋_GB2312"/>
          <w:sz w:val="32"/>
          <w:szCs w:val="32"/>
          <w:highlight w:val="none"/>
        </w:rPr>
        <w:t>发展分子诊断、免疫诊断、及时检测等领域核心技术和试剂产品，研制开发超声影像、生物分子核医学显像、生物感应仪器等大型医学诊断设备。加快小型医用质子加速器等质子治疗系统核心组件研发，推动小型集成化质子医疗系统装备产业化。鼓励发展智能康复机器人、多模态康复轮椅、外骨骼机器人系统等高端智能康复器材，高性能医用可穿戴设备，家用便携式诊疗与康复设备等慢病管理设备。支持发展血管支架、人工器官、基于3D打印等医学植介入材料和高值医用耗材。</w:t>
      </w:r>
    </w:p>
    <w:p>
      <w:pPr>
        <w:pStyle w:val="4"/>
        <w:spacing w:line="600" w:lineRule="exact"/>
        <w:ind w:firstLine="643" w:firstLineChars="200"/>
        <w:rPr>
          <w:rFonts w:eastAsia="仿宋_GB2312"/>
          <w:sz w:val="32"/>
          <w:szCs w:val="32"/>
          <w:highlight w:val="none"/>
        </w:rPr>
      </w:pPr>
      <w:r>
        <w:rPr>
          <w:rFonts w:eastAsia="仿宋_GB2312"/>
          <w:b/>
          <w:bCs/>
          <w:color w:val="000000"/>
          <w:sz w:val="32"/>
          <w:szCs w:val="32"/>
          <w:highlight w:val="none"/>
        </w:rPr>
        <w:t>小核酸药物。</w:t>
      </w:r>
      <w:r>
        <w:rPr>
          <w:rFonts w:eastAsia="仿宋_GB2312"/>
          <w:sz w:val="32"/>
          <w:szCs w:val="32"/>
          <w:highlight w:val="none"/>
        </w:rPr>
        <w:t>重点发展siRNA药物、microRNA药物和反义核酸药物等小核酸药物；抗乙肝小核酸药物、抗肿瘤小核酸制剂、血液疾病核酸药物、抗病毒小核酸药物、抗神经疼痛和脊髓损伤候选药物等。着力突破GalNac共轭连接、多肽纳米颗粒导入等小核酸药物递送技术，攻关siRNA药物开发、小核酸靶向载体、小核酸液相合成、小核酸降解和稳定化、小核酸特异性、小核酸修饰化学等关键技术。着力引进RNA修饰、RNA合成等配套环节，完善小核酸新药开发、药物前临床、临床前和临床研究全产业链建设，加快小核酸药物产业化进程。</w:t>
      </w:r>
    </w:p>
    <w:p>
      <w:pPr>
        <w:widowControl/>
        <w:adjustRightInd w:val="0"/>
        <w:snapToGrid w:val="0"/>
        <w:spacing w:line="600" w:lineRule="exact"/>
        <w:ind w:firstLine="643" w:firstLineChars="200"/>
        <w:rPr>
          <w:rFonts w:eastAsia="仿宋_GB2312"/>
          <w:sz w:val="32"/>
          <w:szCs w:val="32"/>
          <w:highlight w:val="none"/>
        </w:rPr>
      </w:pPr>
      <w:r>
        <w:rPr>
          <w:rFonts w:eastAsia="仿宋_GB2312"/>
          <w:b/>
          <w:bCs/>
          <w:sz w:val="32"/>
          <w:szCs w:val="32"/>
          <w:highlight w:val="none"/>
        </w:rPr>
        <w:t>创新药。</w:t>
      </w:r>
      <w:r>
        <w:rPr>
          <w:rFonts w:eastAsia="仿宋_GB2312"/>
          <w:sz w:val="32"/>
          <w:szCs w:val="32"/>
          <w:highlight w:val="none"/>
        </w:rPr>
        <w:t>重点发展以治疗性抗体为代表的靶向性治疗药物，开发一批防治肿瘤、心血管疾病和自身免疫性疾病等重大疾病的蛋白质类药物、个性化基因药物。探索铁蛋白纳米载体在肿瘤诊断、药物载体和药物开发等领域应用。加强小分子药物设计筛选、药效及安全性评价、药代动力学、药物质量评价等关键技术攻关，重点突破创新药物合成、结晶纯化、剂型工艺等产业化工艺，研发一批小分子靶向药和新型药物制剂。</w:t>
      </w:r>
    </w:p>
    <w:p>
      <w:pPr>
        <w:widowControl/>
        <w:adjustRightInd w:val="0"/>
        <w:snapToGrid w:val="0"/>
        <w:spacing w:line="600" w:lineRule="exact"/>
        <w:ind w:firstLine="643" w:firstLineChars="200"/>
        <w:rPr>
          <w:rFonts w:eastAsia="仿宋_GB2312"/>
          <w:highlight w:val="none"/>
        </w:rPr>
      </w:pPr>
      <w:r>
        <w:rPr>
          <w:rFonts w:eastAsia="仿宋_GB2312"/>
          <w:b/>
          <w:sz w:val="32"/>
          <w:szCs w:val="32"/>
          <w:highlight w:val="none"/>
        </w:rPr>
        <w:t>医疗医美。</w:t>
      </w:r>
      <w:r>
        <w:rPr>
          <w:rFonts w:eastAsia="仿宋_GB2312"/>
          <w:sz w:val="32"/>
          <w:szCs w:val="32"/>
          <w:highlight w:val="none"/>
        </w:rPr>
        <w:t>高标准构建全产业链智慧医养与健康养老服务体系，重点发展慢性病疗养、基因检测、高端体检、医疗美容为核心的疗愈服务。探索医养融合发展，提供治疗、护理、康复等一体化的健康养老服务。将优质医疗技术、完善服务设施和优美休闲环境结合，支持打造以治疗、康复、保健等为目，以休闲度假为辅助的康体医疗旅游产品。</w:t>
      </w:r>
    </w:p>
    <w:bookmarkEnd w:id="246"/>
    <w:bookmarkEnd w:id="247"/>
    <w:bookmarkEnd w:id="248"/>
    <w:bookmarkEnd w:id="249"/>
    <w:bookmarkEnd w:id="250"/>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5"/>
              <w:jc w:val="center"/>
              <w:rPr>
                <w:rFonts w:eastAsia="方正黑体_GBK"/>
                <w:sz w:val="28"/>
                <w:szCs w:val="28"/>
                <w:highlight w:val="none"/>
              </w:rPr>
            </w:pPr>
            <w:r>
              <w:rPr>
                <w:rFonts w:eastAsia="仿宋_GB2312"/>
                <w:b/>
                <w:bCs/>
                <w:sz w:val="28"/>
                <w:szCs w:val="28"/>
                <w:highlight w:val="none"/>
              </w:rPr>
              <w:t>新医疗产业空间布局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6"/>
              <w:spacing w:line="320" w:lineRule="exact"/>
              <w:ind w:firstLine="482"/>
              <w:rPr>
                <w:rFonts w:eastAsia="仿宋_GB2312" w:cs="Times New Roman"/>
                <w:sz w:val="24"/>
                <w:szCs w:val="24"/>
                <w:highlight w:val="none"/>
              </w:rPr>
            </w:pPr>
            <w:r>
              <w:rPr>
                <w:rFonts w:eastAsia="仿宋_GB2312" w:cs="Times New Roman"/>
                <w:b/>
                <w:bCs/>
                <w:sz w:val="24"/>
                <w:szCs w:val="24"/>
                <w:highlight w:val="none"/>
              </w:rPr>
              <w:t>高端医疗器械</w:t>
            </w:r>
            <w:r>
              <w:rPr>
                <w:rFonts w:eastAsia="仿宋_GB2312" w:cs="Times New Roman"/>
                <w:sz w:val="24"/>
                <w:szCs w:val="24"/>
                <w:highlight w:val="none"/>
              </w:rPr>
              <w:t>。依托昆山开发区、高新区、旅游度假区、张浦镇、周市镇、陆家镇等，发展智能康复设备、制药设备、医用耗材等。</w:t>
            </w:r>
          </w:p>
          <w:p>
            <w:pPr>
              <w:pStyle w:val="6"/>
              <w:spacing w:line="320" w:lineRule="exact"/>
              <w:ind w:firstLine="482"/>
              <w:rPr>
                <w:rFonts w:eastAsia="仿宋_GB2312" w:cs="Times New Roman"/>
                <w:sz w:val="24"/>
                <w:szCs w:val="24"/>
                <w:highlight w:val="none"/>
              </w:rPr>
            </w:pPr>
            <w:r>
              <w:rPr>
                <w:rFonts w:eastAsia="仿宋_GB2312" w:cs="Times New Roman"/>
                <w:b/>
                <w:bCs/>
                <w:sz w:val="24"/>
                <w:szCs w:val="24"/>
                <w:highlight w:val="none"/>
              </w:rPr>
              <w:t>小核酸药物和创新药</w:t>
            </w:r>
            <w:r>
              <w:rPr>
                <w:rFonts w:eastAsia="仿宋_GB2312" w:cs="Times New Roman"/>
                <w:sz w:val="24"/>
                <w:szCs w:val="24"/>
                <w:highlight w:val="none"/>
              </w:rPr>
              <w:t>。支持昆山小核酸及生物医药产业园发展具有自主知识产权的小核酸药物和创新药，支持昆山高新区、旅游度假区打造集技术创新、成果孵化（产业化）、专业技术平台为一体的综合性生物医药产业园区。</w:t>
            </w:r>
          </w:p>
          <w:p>
            <w:pPr>
              <w:pStyle w:val="6"/>
              <w:spacing w:line="320" w:lineRule="exact"/>
              <w:ind w:firstLine="482"/>
              <w:rPr>
                <w:rFonts w:eastAsia="仿宋_GB2312" w:cs="Times New Roman"/>
                <w:sz w:val="28"/>
                <w:szCs w:val="28"/>
                <w:highlight w:val="none"/>
              </w:rPr>
            </w:pPr>
            <w:r>
              <w:rPr>
                <w:rFonts w:eastAsia="仿宋_GB2312" w:cs="Times New Roman"/>
                <w:b/>
                <w:bCs/>
                <w:sz w:val="24"/>
                <w:szCs w:val="24"/>
                <w:highlight w:val="none"/>
              </w:rPr>
              <w:t>医疗医美。</w:t>
            </w:r>
            <w:r>
              <w:rPr>
                <w:rFonts w:eastAsia="仿宋_GB2312" w:cs="Times New Roman"/>
                <w:sz w:val="24"/>
                <w:szCs w:val="24"/>
                <w:highlight w:val="none"/>
              </w:rPr>
              <w:t>依托昆山旅游度假区发展康体医疗旅游服务。依托</w:t>
            </w:r>
            <w:r>
              <w:rPr>
                <w:rFonts w:hint="eastAsia" w:eastAsia="仿宋_GB2312" w:cs="Times New Roman"/>
                <w:sz w:val="24"/>
                <w:szCs w:val="24"/>
                <w:highlight w:val="none"/>
              </w:rPr>
              <w:t>陆家镇</w:t>
            </w:r>
            <w:r>
              <w:rPr>
                <w:rFonts w:eastAsia="仿宋_GB2312" w:cs="Times New Roman"/>
                <w:sz w:val="24"/>
                <w:szCs w:val="24"/>
                <w:highlight w:val="none"/>
              </w:rPr>
              <w:t>中韩医美生物科技昆山产业园，拓展医美生物科技产业链。</w:t>
            </w:r>
          </w:p>
        </w:tc>
      </w:tr>
    </w:tbl>
    <w:p>
      <w:pPr>
        <w:pStyle w:val="6"/>
        <w:spacing w:line="600" w:lineRule="exact"/>
        <w:ind w:firstLine="0" w:firstLineChars="0"/>
        <w:rPr>
          <w:rStyle w:val="23"/>
          <w:rFonts w:hint="default" w:ascii="Times New Roman" w:hAnsi="Times New Roman" w:eastAsia="仿宋_GB2312" w:cs="Times New Roman"/>
          <w:color w:val="auto"/>
          <w:sz w:val="32"/>
          <w:szCs w:val="32"/>
          <w:highlight w:val="none"/>
        </w:rPr>
      </w:pPr>
    </w:p>
    <w:p>
      <w:pPr>
        <w:pStyle w:val="4"/>
        <w:spacing w:line="600" w:lineRule="exact"/>
        <w:ind w:firstLine="643" w:firstLineChars="200"/>
        <w:outlineLvl w:val="2"/>
        <w:rPr>
          <w:rFonts w:eastAsia="仿宋_GB2312"/>
          <w:b/>
          <w:bCs/>
          <w:color w:val="000000"/>
          <w:kern w:val="0"/>
          <w:sz w:val="32"/>
          <w:szCs w:val="32"/>
          <w:highlight w:val="none"/>
        </w:rPr>
      </w:pPr>
      <w:bookmarkStart w:id="252" w:name="_Toc2724"/>
      <w:r>
        <w:rPr>
          <w:rFonts w:eastAsia="仿宋_GB2312"/>
          <w:b/>
          <w:bCs/>
          <w:color w:val="000000"/>
          <w:kern w:val="0"/>
          <w:sz w:val="32"/>
          <w:szCs w:val="32"/>
          <w:highlight w:val="none"/>
        </w:rPr>
        <w:t>4.新能源</w:t>
      </w:r>
      <w:bookmarkEnd w:id="252"/>
    </w:p>
    <w:p>
      <w:pPr>
        <w:spacing w:line="600" w:lineRule="exact"/>
        <w:ind w:firstLine="640" w:firstLineChars="200"/>
        <w:rPr>
          <w:rFonts w:eastAsia="仿宋_GB2312"/>
          <w:sz w:val="32"/>
          <w:szCs w:val="32"/>
          <w:highlight w:val="none"/>
        </w:rPr>
      </w:pPr>
      <w:r>
        <w:rPr>
          <w:rFonts w:eastAsia="仿宋_GB2312"/>
          <w:sz w:val="32"/>
          <w:szCs w:val="32"/>
          <w:highlight w:val="none"/>
        </w:rPr>
        <w:t>以智能化、绿色化、品牌化为方向，深化实施“能源变革”工程，顺应新能源产业发展趋势，推动汽车零部件高端化发展，推进动力电池产业化规模化发展，精准引培新能源汽车、智能网联汽车项目，前瞻布局氢能领域，打造技术领先、省内有影响力的千亿级新能源产业集群。</w:t>
      </w:r>
    </w:p>
    <w:p>
      <w:pPr>
        <w:spacing w:line="600" w:lineRule="exact"/>
        <w:ind w:firstLine="643" w:firstLineChars="200"/>
        <w:rPr>
          <w:rFonts w:eastAsia="仿宋_GB2312"/>
          <w:sz w:val="32"/>
          <w:szCs w:val="32"/>
          <w:highlight w:val="none"/>
        </w:rPr>
      </w:pPr>
      <w:r>
        <w:rPr>
          <w:rFonts w:eastAsia="仿宋_GB2312"/>
          <w:b/>
          <w:color w:val="000000"/>
          <w:sz w:val="32"/>
          <w:szCs w:val="32"/>
          <w:highlight w:val="none"/>
        </w:rPr>
        <w:t>新能源汽车。</w:t>
      </w:r>
      <w:r>
        <w:rPr>
          <w:rFonts w:eastAsia="仿宋_GB2312"/>
          <w:sz w:val="32"/>
          <w:szCs w:val="32"/>
          <w:highlight w:val="none"/>
        </w:rPr>
        <w:t>支持固态锂电池、氢燃料电池等新型动力电池发展，着力突破控制系统、驱动电机、增程式发动机等关键技术瓶颈。精准引培纯电动汽车、燃料电池汽车等重点项目。加快推动充换电等新型基础设施建设。</w:t>
      </w:r>
    </w:p>
    <w:p>
      <w:pPr>
        <w:pStyle w:val="6"/>
        <w:spacing w:line="600" w:lineRule="exact"/>
        <w:ind w:firstLine="643"/>
        <w:rPr>
          <w:rFonts w:eastAsia="仿宋_GB2312" w:cs="Times New Roman"/>
          <w:szCs w:val="32"/>
          <w:highlight w:val="none"/>
        </w:rPr>
      </w:pPr>
      <w:r>
        <w:rPr>
          <w:rFonts w:eastAsia="仿宋_GB2312" w:cs="Times New Roman"/>
          <w:b/>
          <w:szCs w:val="32"/>
          <w:highlight w:val="none"/>
        </w:rPr>
        <w:t>汽车零部件。</w:t>
      </w:r>
      <w:r>
        <w:rPr>
          <w:rFonts w:eastAsia="仿宋_GB2312" w:cs="Times New Roman"/>
          <w:szCs w:val="32"/>
          <w:highlight w:val="none"/>
        </w:rPr>
        <w:t>鼓励零部件厂商围绕轻量化、电动化、智能化方向，强化研发创新，支持新型电子电气架构等关键技术攻关，加快在液压成型、热冲压成型、无孔性压铸法等技术工艺创新，推动汽车零部件产品高端化升级。深化与知名整车厂商合作，提高专业化配套水平和高端产品供给能力，作响昆山汽车零部件品牌。</w:t>
      </w:r>
    </w:p>
    <w:p>
      <w:pPr>
        <w:pStyle w:val="29"/>
        <w:spacing w:line="360" w:lineRule="auto"/>
        <w:ind w:firstLine="643" w:firstLineChars="200"/>
        <w:jc w:val="both"/>
        <w:rPr>
          <w:rFonts w:ascii="Times New Roman" w:hAnsi="Times New Roman" w:eastAsia="仿宋_GB2312" w:cs="Times New Roman"/>
          <w:color w:val="000000"/>
          <w:sz w:val="32"/>
          <w:szCs w:val="32"/>
          <w:highlight w:val="none"/>
        </w:rPr>
      </w:pPr>
      <w:r>
        <w:rPr>
          <w:rFonts w:ascii="Times New Roman" w:hAnsi="Times New Roman" w:eastAsia="仿宋_GB2312" w:cs="Times New Roman"/>
          <w:b/>
          <w:color w:val="000000"/>
          <w:sz w:val="32"/>
          <w:szCs w:val="32"/>
          <w:highlight w:val="none"/>
        </w:rPr>
        <w:t>能源电子。</w:t>
      </w:r>
      <w:r>
        <w:rPr>
          <w:rFonts w:ascii="Times New Roman" w:hAnsi="Times New Roman" w:eastAsia="仿宋_GB2312" w:cs="Times New Roman"/>
          <w:bCs/>
          <w:color w:val="000000"/>
          <w:sz w:val="32"/>
          <w:szCs w:val="32"/>
          <w:highlight w:val="none"/>
        </w:rPr>
        <w:t>加强能源电子产品布局，太阳能光伏、新型储能电池等研发</w:t>
      </w:r>
      <w:r>
        <w:rPr>
          <w:rFonts w:hint="eastAsia" w:ascii="Times New Roman" w:hAnsi="Times New Roman" w:eastAsia="仿宋_GB2312" w:cs="Times New Roman"/>
          <w:bCs/>
          <w:color w:val="000000"/>
          <w:sz w:val="32"/>
          <w:szCs w:val="32"/>
          <w:highlight w:val="none"/>
        </w:rPr>
        <w:t>、</w:t>
      </w:r>
      <w:r>
        <w:rPr>
          <w:rFonts w:ascii="Times New Roman" w:hAnsi="Times New Roman" w:eastAsia="仿宋_GB2312" w:cs="Times New Roman"/>
          <w:bCs/>
          <w:color w:val="000000"/>
          <w:sz w:val="32"/>
          <w:szCs w:val="32"/>
          <w:highlight w:val="none"/>
        </w:rPr>
        <w:t>生产及产业化进程提速，面向新型电力系统和数据中心、</w:t>
      </w:r>
      <w:r>
        <w:rPr>
          <w:rFonts w:ascii="Times New Roman" w:hAnsi="Times New Roman" w:eastAsia="仿宋_GB2312" w:cs="Times New Roman"/>
          <w:color w:val="000000"/>
          <w:sz w:val="32"/>
          <w:szCs w:val="32"/>
          <w:highlight w:val="none"/>
        </w:rPr>
        <w:t>算力中心、电动机械工具、电动交通工具及充换电设施、新型基础设施等重点终端应用，巩固和提升光电子器件、功率半导体器件、敏感元件及传感类器件等关键信息技术及产品支撑能力。</w:t>
      </w:r>
    </w:p>
    <w:p>
      <w:pPr>
        <w:ind w:firstLine="643" w:firstLineChars="200"/>
        <w:rPr>
          <w:rFonts w:eastAsia="仿宋_GB2312"/>
          <w:color w:val="000000"/>
          <w:kern w:val="0"/>
          <w:sz w:val="32"/>
          <w:szCs w:val="32"/>
          <w:highlight w:val="none"/>
        </w:rPr>
      </w:pPr>
      <w:r>
        <w:rPr>
          <w:rFonts w:eastAsia="仿宋_GB2312"/>
          <w:b/>
          <w:color w:val="000000"/>
          <w:kern w:val="0"/>
          <w:sz w:val="32"/>
          <w:szCs w:val="32"/>
          <w:highlight w:val="none"/>
        </w:rPr>
        <w:t>氢能。</w:t>
      </w:r>
      <w:r>
        <w:rPr>
          <w:rFonts w:eastAsia="仿宋_GB2312"/>
          <w:color w:val="000000"/>
          <w:kern w:val="0"/>
          <w:sz w:val="32"/>
          <w:szCs w:val="32"/>
          <w:highlight w:val="none"/>
        </w:rPr>
        <w:t>加强高压气态储氢、深冷高压储氢、低温液态储氢、固体储氢等氢燃料电池车载储氢技术研发，提高氢燃料电池核心部件自主研发能力，加快氢能及燃料电池前沿技术产业化。支持加氢站等氢能基础设施建设。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5"/>
              <w:ind w:firstLine="281" w:firstLineChars="100"/>
              <w:jc w:val="center"/>
              <w:rPr>
                <w:rFonts w:eastAsia="方正黑体_GBK"/>
                <w:sz w:val="28"/>
                <w:szCs w:val="28"/>
                <w:highlight w:val="none"/>
              </w:rPr>
            </w:pPr>
            <w:r>
              <w:rPr>
                <w:rFonts w:eastAsia="仿宋_GB2312"/>
                <w:b/>
                <w:bCs/>
                <w:sz w:val="28"/>
                <w:szCs w:val="28"/>
                <w:highlight w:val="none"/>
              </w:rPr>
              <w:t>新能源产业空间布局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ind w:firstLine="480"/>
              <w:rPr>
                <w:rFonts w:eastAsia="仿宋_GB2312"/>
                <w:sz w:val="24"/>
                <w:highlight w:val="none"/>
              </w:rPr>
            </w:pPr>
            <w:r>
              <w:rPr>
                <w:rFonts w:eastAsia="仿宋_GB2312"/>
                <w:b/>
                <w:bCs/>
                <w:sz w:val="24"/>
                <w:highlight w:val="none"/>
              </w:rPr>
              <w:t>新能源汽车</w:t>
            </w:r>
            <w:r>
              <w:rPr>
                <w:rFonts w:eastAsia="仿宋_GB2312"/>
                <w:sz w:val="24"/>
                <w:highlight w:val="none"/>
              </w:rPr>
              <w:t>。支持昆山开发区、旅游度假区</w:t>
            </w:r>
            <w:r>
              <w:rPr>
                <w:rFonts w:hint="eastAsia" w:eastAsia="仿宋_GB2312"/>
                <w:sz w:val="24"/>
                <w:highlight w:val="none"/>
              </w:rPr>
              <w:t>、千灯镇</w:t>
            </w:r>
            <w:r>
              <w:rPr>
                <w:rFonts w:eastAsia="仿宋_GB2312"/>
                <w:sz w:val="24"/>
                <w:highlight w:val="none"/>
              </w:rPr>
              <w:t>等精准引培一批整车和关键零部件项目，突破动力电池关键技术，扩大动力电池量产规模，提高产能利用率。</w:t>
            </w:r>
          </w:p>
          <w:p>
            <w:pPr>
              <w:ind w:firstLine="480"/>
              <w:rPr>
                <w:highlight w:val="none"/>
              </w:rPr>
            </w:pPr>
            <w:r>
              <w:rPr>
                <w:rFonts w:eastAsia="仿宋_GB2312"/>
                <w:b/>
                <w:bCs/>
                <w:sz w:val="24"/>
                <w:highlight w:val="none"/>
              </w:rPr>
              <w:t>汽车零部件</w:t>
            </w:r>
            <w:r>
              <w:rPr>
                <w:rFonts w:eastAsia="仿宋_GB2312"/>
                <w:sz w:val="24"/>
                <w:highlight w:val="none"/>
              </w:rPr>
              <w:t>。以昆山开发区江苏省汽车零部件产业基地为重点，发展发动机、汽车电子、汽车轻量化材料及配件、车身零部件等配套产品，推动零部件配套高端化发展。</w:t>
            </w:r>
          </w:p>
          <w:p>
            <w:pPr>
              <w:ind w:firstLine="482" w:firstLineChars="200"/>
              <w:rPr>
                <w:rFonts w:eastAsia="仿宋_GB2312"/>
                <w:color w:val="000000"/>
                <w:kern w:val="0"/>
                <w:sz w:val="24"/>
                <w:highlight w:val="none"/>
              </w:rPr>
            </w:pPr>
            <w:r>
              <w:rPr>
                <w:rFonts w:eastAsia="仿宋_GB2312"/>
                <w:b/>
                <w:bCs/>
                <w:color w:val="000000"/>
                <w:kern w:val="0"/>
                <w:sz w:val="24"/>
                <w:highlight w:val="none"/>
              </w:rPr>
              <w:t>氢能</w:t>
            </w:r>
            <w:r>
              <w:rPr>
                <w:rFonts w:eastAsia="仿宋_GB2312"/>
                <w:color w:val="000000"/>
                <w:kern w:val="0"/>
                <w:sz w:val="24"/>
                <w:highlight w:val="none"/>
              </w:rPr>
              <w:t>。依托昆山高新区重点发展氢燃料电池电堆、燃料电池制造装备、燃料电池检验检测设备、公共验证平台等；依托昆山开发区重点发展氢能源商用车整车、动力电池、电机电控等配套零部件；依托张浦镇重点规模化发展氢气制取与提纯。</w:t>
            </w:r>
          </w:p>
          <w:p>
            <w:pPr>
              <w:pStyle w:val="2"/>
              <w:ind w:firstLine="482" w:firstLineChars="200"/>
              <w:rPr>
                <w:highlight w:val="none"/>
              </w:rPr>
            </w:pPr>
            <w:r>
              <w:rPr>
                <w:rFonts w:eastAsia="仿宋_GB2312"/>
                <w:b/>
                <w:bCs/>
                <w:color w:val="000000"/>
                <w:kern w:val="0"/>
                <w:sz w:val="24"/>
                <w:highlight w:val="none"/>
              </w:rPr>
              <w:t>能源电子。</w:t>
            </w:r>
            <w:r>
              <w:rPr>
                <w:rFonts w:eastAsia="仿宋_GB2312"/>
                <w:bCs/>
                <w:color w:val="000000"/>
                <w:kern w:val="0"/>
                <w:sz w:val="24"/>
                <w:highlight w:val="none"/>
              </w:rPr>
              <w:t>立足昆山产业基础，重点布局能源电子材料项目、能源电子器件项目、能源转换等项目，重点发展功率半导体、传感类器件、光电子器件等基础电子元器件及专用设备等新能源供给消纳体系建设，面向光伏发电、新能源汽车、光伏并网环节中的IGBT等核心部分，打造安全可靠的自主能源电子器件和模块</w:t>
            </w:r>
          </w:p>
        </w:tc>
      </w:tr>
    </w:tbl>
    <w:p>
      <w:pPr>
        <w:pStyle w:val="4"/>
        <w:spacing w:line="600" w:lineRule="exact"/>
        <w:ind w:firstLine="643" w:firstLineChars="200"/>
        <w:rPr>
          <w:rFonts w:eastAsia="楷体_GB2312"/>
          <w:b/>
          <w:bCs/>
          <w:color w:val="000000"/>
          <w:kern w:val="0"/>
          <w:sz w:val="32"/>
          <w:szCs w:val="32"/>
          <w:highlight w:val="none"/>
        </w:rPr>
      </w:pPr>
    </w:p>
    <w:p>
      <w:pPr>
        <w:pStyle w:val="4"/>
        <w:spacing w:line="600" w:lineRule="exact"/>
        <w:ind w:firstLine="643" w:firstLineChars="200"/>
        <w:outlineLvl w:val="2"/>
        <w:rPr>
          <w:rFonts w:eastAsia="仿宋_GB2312"/>
          <w:b/>
          <w:bCs/>
          <w:color w:val="000000"/>
          <w:kern w:val="0"/>
          <w:sz w:val="32"/>
          <w:szCs w:val="32"/>
          <w:highlight w:val="none"/>
        </w:rPr>
      </w:pPr>
      <w:bookmarkStart w:id="253" w:name="_Toc15296"/>
      <w:r>
        <w:rPr>
          <w:rFonts w:eastAsia="仿宋_GB2312"/>
          <w:b/>
          <w:bCs/>
          <w:color w:val="000000"/>
          <w:kern w:val="0"/>
          <w:sz w:val="32"/>
          <w:szCs w:val="32"/>
          <w:highlight w:val="none"/>
        </w:rPr>
        <w:t>5.新材料</w:t>
      </w:r>
      <w:bookmarkEnd w:id="253"/>
    </w:p>
    <w:p>
      <w:pPr>
        <w:pStyle w:val="4"/>
        <w:spacing w:line="600" w:lineRule="exact"/>
        <w:ind w:firstLine="640" w:firstLineChars="200"/>
        <w:rPr>
          <w:sz w:val="32"/>
          <w:szCs w:val="32"/>
          <w:highlight w:val="none"/>
        </w:rPr>
      </w:pPr>
      <w:r>
        <w:rPr>
          <w:rFonts w:eastAsia="仿宋_GB2312"/>
          <w:sz w:val="32"/>
          <w:szCs w:val="32"/>
          <w:highlight w:val="none"/>
        </w:rPr>
        <w:t>以龙头企业带动、特色园区转型为重点，深化实施“材料换代”工程，侧重对集成电路、光电显示、新能源汽车、生物医药产业的嵌入支撑，发展化工新材料、电子信息与新能源专用材料、生命健康原料，打造绿色安全、精细化、特色化发展的千亿级新材料产业集群。</w:t>
      </w:r>
    </w:p>
    <w:p>
      <w:pPr>
        <w:pStyle w:val="5"/>
        <w:spacing w:line="600" w:lineRule="exact"/>
        <w:ind w:firstLine="643" w:firstLineChars="200"/>
        <w:rPr>
          <w:rFonts w:eastAsia="仿宋_GB2312"/>
          <w:sz w:val="32"/>
          <w:szCs w:val="32"/>
          <w:highlight w:val="none"/>
        </w:rPr>
      </w:pPr>
      <w:r>
        <w:rPr>
          <w:rFonts w:eastAsia="仿宋_GB2312"/>
          <w:b/>
          <w:sz w:val="32"/>
          <w:szCs w:val="32"/>
          <w:highlight w:val="none"/>
        </w:rPr>
        <w:t>化工新材料。</w:t>
      </w:r>
      <w:r>
        <w:rPr>
          <w:rFonts w:eastAsia="仿宋_GB2312"/>
          <w:sz w:val="32"/>
          <w:szCs w:val="32"/>
          <w:highlight w:val="none"/>
        </w:rPr>
        <w:t>做精双酚A类环氧树脂、柔性环氧树脂、特种环氧树脂和环保增塑剂等特色产品，支持发展特种工程塑料、环保可降解塑料等先进塑料产品。加快反渗透膜、超滤膜、纳滤膜、微滤膜、电渗析用（阴阳）离子交换膜等高性能膜材料的研发与应用。推动水性色浆、环保涂料、多功能涂料、水性环保油墨等产品向高端化、绿色化发展。</w:t>
      </w:r>
    </w:p>
    <w:p>
      <w:pPr>
        <w:pStyle w:val="5"/>
        <w:spacing w:line="600" w:lineRule="exact"/>
        <w:ind w:firstLine="643" w:firstLineChars="200"/>
        <w:rPr>
          <w:rFonts w:eastAsia="仿宋_GB2312"/>
          <w:sz w:val="32"/>
          <w:szCs w:val="32"/>
          <w:highlight w:val="none"/>
        </w:rPr>
      </w:pPr>
      <w:r>
        <w:rPr>
          <w:rFonts w:eastAsia="仿宋_GB2312"/>
          <w:b/>
          <w:sz w:val="32"/>
          <w:szCs w:val="32"/>
          <w:highlight w:val="none"/>
        </w:rPr>
        <w:t>电子及新能源专用材料。</w:t>
      </w:r>
      <w:r>
        <w:rPr>
          <w:rFonts w:eastAsia="仿宋_GB2312"/>
          <w:sz w:val="32"/>
          <w:szCs w:val="32"/>
          <w:highlight w:val="none"/>
        </w:rPr>
        <w:t>重点发展化学机械抛光（CMP）材料、光致抗蚀剂、高纯湿法化学品、超净高纯特种气体、封装材料等集成电路领域用材料及印制线路板用化学品和材料，支持发展LCD和OLED显示器配套化学品和材料，布局以碳化硅、氮化镓为代表的第三代半导体材料。引进高端钴酸锂等锂电池正极材料制备技术，发展正负极材料及极片、电解液、隔膜等锂电池和光伏电池用化学品和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8522" w:type="dxa"/>
          </w:tcPr>
          <w:p>
            <w:pPr>
              <w:pStyle w:val="5"/>
              <w:ind w:firstLine="281" w:firstLineChars="100"/>
              <w:jc w:val="center"/>
              <w:rPr>
                <w:rFonts w:eastAsia="方正黑体_GBK"/>
                <w:sz w:val="28"/>
                <w:szCs w:val="28"/>
                <w:highlight w:val="none"/>
              </w:rPr>
            </w:pPr>
            <w:r>
              <w:rPr>
                <w:rFonts w:eastAsia="仿宋_GB2312"/>
                <w:b/>
                <w:bCs/>
                <w:sz w:val="28"/>
                <w:szCs w:val="28"/>
                <w:highlight w:val="none"/>
              </w:rPr>
              <w:t>新材料产业空间布局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6"/>
              <w:spacing w:line="320" w:lineRule="exact"/>
              <w:ind w:firstLine="482"/>
              <w:rPr>
                <w:rFonts w:eastAsia="仿宋_GB2312" w:cs="Times New Roman"/>
                <w:sz w:val="24"/>
                <w:highlight w:val="none"/>
              </w:rPr>
            </w:pPr>
            <w:bookmarkStart w:id="254" w:name="_Hlk84809687"/>
            <w:r>
              <w:rPr>
                <w:rFonts w:eastAsia="仿宋_GB2312" w:cs="Times New Roman"/>
                <w:b/>
                <w:bCs/>
                <w:sz w:val="24"/>
                <w:szCs w:val="24"/>
                <w:highlight w:val="none"/>
              </w:rPr>
              <w:t>化工新材料</w:t>
            </w:r>
            <w:bookmarkEnd w:id="254"/>
            <w:r>
              <w:rPr>
                <w:rFonts w:eastAsia="仿宋_GB2312" w:cs="Times New Roman"/>
                <w:b/>
                <w:bCs/>
                <w:sz w:val="24"/>
                <w:szCs w:val="24"/>
                <w:highlight w:val="none"/>
              </w:rPr>
              <w:t>。</w:t>
            </w:r>
            <w:r>
              <w:rPr>
                <w:rFonts w:eastAsia="仿宋_GB2312" w:cs="Times New Roman"/>
                <w:sz w:val="24"/>
                <w:szCs w:val="24"/>
                <w:highlight w:val="none"/>
              </w:rPr>
              <w:t>依托昆山精细材料产业园，发展高性能膜材料、先进塑料等产品。</w:t>
            </w:r>
          </w:p>
          <w:p>
            <w:pPr>
              <w:pStyle w:val="6"/>
              <w:spacing w:line="320" w:lineRule="exact"/>
              <w:ind w:firstLine="482"/>
              <w:rPr>
                <w:rFonts w:eastAsia="方正仿宋_GBK" w:cs="Times New Roman"/>
                <w:sz w:val="28"/>
                <w:szCs w:val="28"/>
                <w:highlight w:val="none"/>
              </w:rPr>
            </w:pPr>
            <w:bookmarkStart w:id="255" w:name="_Hlk84809699"/>
            <w:r>
              <w:rPr>
                <w:rFonts w:eastAsia="仿宋_GB2312" w:cs="Times New Roman"/>
                <w:b/>
                <w:bCs/>
                <w:sz w:val="24"/>
                <w:szCs w:val="24"/>
                <w:highlight w:val="none"/>
              </w:rPr>
              <w:t>电子及新能源专用材料</w:t>
            </w:r>
            <w:bookmarkEnd w:id="255"/>
            <w:r>
              <w:rPr>
                <w:rFonts w:eastAsia="仿宋_GB2312" w:cs="Times New Roman"/>
                <w:sz w:val="24"/>
                <w:szCs w:val="24"/>
                <w:highlight w:val="none"/>
              </w:rPr>
              <w:t>。依托昆山</w:t>
            </w:r>
            <w:r>
              <w:rPr>
                <w:rFonts w:hint="eastAsia" w:eastAsia="仿宋_GB2312" w:cs="Times New Roman"/>
                <w:sz w:val="24"/>
                <w:szCs w:val="24"/>
                <w:highlight w:val="none"/>
              </w:rPr>
              <w:t>高新区、千灯镇</w:t>
            </w:r>
            <w:r>
              <w:rPr>
                <w:rFonts w:eastAsia="仿宋_GB2312" w:cs="Times New Roman"/>
                <w:sz w:val="24"/>
                <w:szCs w:val="24"/>
                <w:highlight w:val="none"/>
              </w:rPr>
              <w:t>，重点发展集成电路、光电显示、新能源电池等专用材料。</w:t>
            </w:r>
          </w:p>
        </w:tc>
      </w:tr>
    </w:tbl>
    <w:p>
      <w:pPr>
        <w:pStyle w:val="5"/>
        <w:rPr>
          <w:highlight w:val="none"/>
        </w:rPr>
      </w:pPr>
    </w:p>
    <w:p>
      <w:pPr>
        <w:pStyle w:val="4"/>
        <w:spacing w:line="600" w:lineRule="exact"/>
        <w:ind w:firstLine="643" w:firstLineChars="200"/>
        <w:outlineLvl w:val="2"/>
        <w:rPr>
          <w:rFonts w:eastAsia="仿宋_GB2312"/>
          <w:b/>
          <w:bCs/>
          <w:color w:val="000000"/>
          <w:kern w:val="0"/>
          <w:sz w:val="32"/>
          <w:szCs w:val="32"/>
          <w:highlight w:val="none"/>
        </w:rPr>
      </w:pPr>
      <w:bookmarkStart w:id="256" w:name="_Toc31584"/>
      <w:r>
        <w:rPr>
          <w:rFonts w:eastAsia="仿宋_GB2312"/>
          <w:b/>
          <w:bCs/>
          <w:color w:val="000000"/>
          <w:kern w:val="0"/>
          <w:sz w:val="32"/>
          <w:szCs w:val="32"/>
          <w:highlight w:val="none"/>
        </w:rPr>
        <w:t>6.新数字</w:t>
      </w:r>
      <w:bookmarkEnd w:id="256"/>
    </w:p>
    <w:p>
      <w:pPr>
        <w:pStyle w:val="5"/>
        <w:spacing w:line="600" w:lineRule="exact"/>
        <w:ind w:firstLine="640" w:firstLineChars="200"/>
        <w:rPr>
          <w:color w:val="auto"/>
          <w:kern w:val="2"/>
          <w:highlight w:val="none"/>
        </w:rPr>
      </w:pPr>
      <w:r>
        <w:rPr>
          <w:rFonts w:eastAsia="仿宋_GB2312"/>
          <w:sz w:val="32"/>
          <w:szCs w:val="32"/>
          <w:highlight w:val="none"/>
        </w:rPr>
        <w:t>以融合创新、应用牵引为</w:t>
      </w:r>
      <w:r>
        <w:rPr>
          <w:rFonts w:eastAsia="仿宋_GB2312"/>
          <w:color w:val="auto"/>
          <w:kern w:val="2"/>
          <w:sz w:val="32"/>
          <w:szCs w:val="32"/>
          <w:highlight w:val="none"/>
        </w:rPr>
        <w:t>方向，深化实施“ABCDI”（人工智能+区块链+云计算+大数据+物联网）工程，培育大数据和先进计算等新增长点，推动工业互联网、区块链技术示范应用，争取在人工智能和工业软件等领域实现关键产品突破，打造自主可控的千亿级新数字产业集群。</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先进计算和大数据</w:t>
      </w:r>
      <w:r>
        <w:rPr>
          <w:rFonts w:eastAsia="仿宋_GB2312"/>
          <w:b/>
          <w:bCs/>
          <w:color w:val="000000"/>
          <w:sz w:val="32"/>
          <w:szCs w:val="32"/>
          <w:highlight w:val="none"/>
        </w:rPr>
        <w:t>。</w:t>
      </w:r>
      <w:r>
        <w:rPr>
          <w:rFonts w:eastAsia="仿宋_GB2312"/>
          <w:sz w:val="32"/>
          <w:szCs w:val="32"/>
          <w:highlight w:val="none"/>
        </w:rPr>
        <w:t>加快安全可控高性能计算机、服务器智能制造生产线建设，打造高性能服务器的生产基地。推动国家超级计算昆山中心与产业联动发展，深化超算云平台应用，围绕人工智能、生物医药、物理化学材料等前沿科学领域开展应用计算研究与服务，主动承接长三角及周边区域重大科技基础设施的先进计算、复杂高精尖产品设计和科学大数据处理业务。支持大数据平台建设，推动大数据在金融、电子商务、工业和智慧城市等领域应用。</w:t>
      </w:r>
      <w:r>
        <w:rPr>
          <w:rFonts w:eastAsia="仿宋_GB2312"/>
          <w:color w:val="000000"/>
          <w:sz w:val="32"/>
          <w:szCs w:val="32"/>
          <w:highlight w:val="none"/>
        </w:rPr>
        <w:t>加强工业大数据产品服务供给，重点打造软硬一体、落地性强、易用性好的工业大数据产品。前瞻布局量子通信、量子计算、量子测量计算和设备，探索推动量子科学示范应用和产业化进程。</w:t>
      </w:r>
    </w:p>
    <w:p>
      <w:pPr>
        <w:spacing w:line="600" w:lineRule="exact"/>
        <w:ind w:firstLine="643" w:firstLineChars="200"/>
        <w:rPr>
          <w:rFonts w:eastAsia="仿宋_GB2312"/>
          <w:highlight w:val="none"/>
        </w:rPr>
      </w:pPr>
      <w:r>
        <w:rPr>
          <w:rStyle w:val="23"/>
          <w:rFonts w:hint="default" w:ascii="Times New Roman" w:hAnsi="Times New Roman" w:eastAsia="仿宋_GB2312"/>
          <w:b/>
          <w:bCs/>
          <w:sz w:val="32"/>
          <w:szCs w:val="32"/>
          <w:highlight w:val="none"/>
        </w:rPr>
        <w:t>工业互联网和区块链。</w:t>
      </w:r>
      <w:r>
        <w:rPr>
          <w:rStyle w:val="23"/>
          <w:rFonts w:hint="default" w:ascii="Times New Roman" w:hAnsi="Times New Roman" w:eastAsia="仿宋_GB2312"/>
          <w:color w:val="auto"/>
          <w:sz w:val="32"/>
          <w:szCs w:val="32"/>
          <w:highlight w:val="none"/>
        </w:rPr>
        <w:t>依托工业互联网标识解析二级节点，推进数据采集、数据分析、开源工具、微服务、应用开发等工业互联网平台技术研发与产业化，探索工业互联网高并发流式数据解决方案。强化设计、生产、运维、管理等全流程数字化功能集成，研发一批行业通用工业APP、基础共性工业APP，推动工业APP向平台汇聚，提升工业互联网平台核心能力，助力企业智能化改造和数字化转型。以建设“星火·链网”骨干节点为契机，加强政产学研用合作，加快区块链关键技术研发创新，提供面向行业应用的业务交换节点。积极探索区块链在智慧城市、数字政府、金融科技、智能制造、智慧医疗等重点场景应用。</w:t>
      </w:r>
    </w:p>
    <w:p>
      <w:pPr>
        <w:pStyle w:val="5"/>
        <w:spacing w:line="600" w:lineRule="exact"/>
        <w:ind w:firstLine="643" w:firstLineChars="200"/>
        <w:rPr>
          <w:rFonts w:eastAsia="仿宋_GB2312"/>
          <w:sz w:val="32"/>
          <w:szCs w:val="32"/>
          <w:highlight w:val="none"/>
        </w:rPr>
      </w:pPr>
      <w:r>
        <w:rPr>
          <w:rFonts w:eastAsia="仿宋_GB2312"/>
          <w:b/>
          <w:bCs/>
          <w:sz w:val="32"/>
          <w:szCs w:val="32"/>
          <w:highlight w:val="none"/>
        </w:rPr>
        <w:t>工业软件。</w:t>
      </w:r>
      <w:r>
        <w:rPr>
          <w:rFonts w:eastAsia="仿宋_GB2312"/>
          <w:sz w:val="32"/>
          <w:szCs w:val="32"/>
          <w:highlight w:val="none"/>
        </w:rPr>
        <w:t>重点发展汽车电子、智能装备、智能机器人、人工智能等领域嵌入式软件产品。支持发展计算机辅助设计（CAD）、计算机辅助制造（CAM）、计算机辅助工程（CAE）、产品全生命周期管理（PLM）等研发设计类软件，制造执行系统（MES）、数据采集与监视控制系统（SCADA）、高级计划排产系统（APS）等生产控制类软件和业务管理类软件。加强大数据、5G、云计算、工业互联网等新一代信息技术融合应用，打造新兴轻量化软件平台，支持低代码、无代码开发工具研发以及基于数据模型驱动的工业软件集成。</w:t>
      </w:r>
    </w:p>
    <w:p>
      <w:pPr>
        <w:pStyle w:val="5"/>
        <w:spacing w:line="600" w:lineRule="exact"/>
        <w:ind w:firstLine="643" w:firstLineChars="200"/>
        <w:rPr>
          <w:rFonts w:eastAsia="仿宋_GB2312"/>
          <w:sz w:val="32"/>
          <w:szCs w:val="32"/>
          <w:highlight w:val="none"/>
        </w:rPr>
      </w:pPr>
      <w:r>
        <w:rPr>
          <w:rFonts w:eastAsia="仿宋_GB2312"/>
          <w:b/>
          <w:bCs/>
          <w:sz w:val="32"/>
          <w:szCs w:val="32"/>
          <w:highlight w:val="none"/>
        </w:rPr>
        <w:t>人工智能。</w:t>
      </w:r>
      <w:r>
        <w:rPr>
          <w:rFonts w:eastAsia="仿宋_GB2312"/>
          <w:sz w:val="32"/>
          <w:szCs w:val="32"/>
          <w:highlight w:val="none"/>
        </w:rPr>
        <w:t>推进新型智能传感器、人工智能芯片研发和应用。前瞻布局类脑智能，积极开展机器学习、计算机视觉、自然语言处理、人机协作等关键技术攻关，研究开发图像识别、语音识别、知识处理、控制决策等应用软件及智能系统解决方案。充分发挥人工智能赋能作用，与5G、工业互联网、大数据智能机器人等产业协同，拓展人工智能应用新场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5"/>
              <w:ind w:firstLine="281" w:firstLineChars="100"/>
              <w:jc w:val="center"/>
              <w:rPr>
                <w:rFonts w:eastAsia="方正黑体_GBK"/>
                <w:sz w:val="28"/>
                <w:szCs w:val="28"/>
                <w:highlight w:val="none"/>
              </w:rPr>
            </w:pPr>
            <w:r>
              <w:rPr>
                <w:rFonts w:eastAsia="仿宋_GB2312"/>
                <w:b/>
                <w:bCs/>
                <w:sz w:val="28"/>
                <w:szCs w:val="28"/>
                <w:highlight w:val="none"/>
              </w:rPr>
              <w:t>新数字产业空间布局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6"/>
              <w:spacing w:line="320" w:lineRule="exact"/>
              <w:ind w:firstLine="482"/>
              <w:rPr>
                <w:rFonts w:eastAsia="仿宋_GB2312" w:cs="Times New Roman"/>
                <w:sz w:val="24"/>
                <w:szCs w:val="24"/>
                <w:highlight w:val="none"/>
              </w:rPr>
            </w:pPr>
            <w:r>
              <w:rPr>
                <w:rFonts w:eastAsia="仿宋_GB2312" w:cs="Times New Roman"/>
                <w:b/>
                <w:bCs/>
                <w:sz w:val="24"/>
                <w:szCs w:val="24"/>
                <w:highlight w:val="none"/>
              </w:rPr>
              <w:t>大数据和先进计算。</w:t>
            </w:r>
            <w:r>
              <w:rPr>
                <w:rFonts w:eastAsia="仿宋_GB2312" w:cs="Times New Roman"/>
                <w:sz w:val="24"/>
                <w:szCs w:val="24"/>
                <w:highlight w:val="none"/>
              </w:rPr>
              <w:t>依托昆山高新区中科院安全可控信息技术产业化基地，推动先进计算技术研发与成果转化，发展安全可靠的高性能服务器产品。加快花桥大数据产业园转型升级，推动呼叫中心、灾备中心等业态向数字内容、平台运营等价值链高端环节转型。</w:t>
            </w:r>
          </w:p>
          <w:p>
            <w:pPr>
              <w:pStyle w:val="6"/>
              <w:spacing w:line="320" w:lineRule="exact"/>
              <w:ind w:firstLine="482"/>
              <w:rPr>
                <w:rFonts w:eastAsia="仿宋_GB2312" w:cs="Times New Roman"/>
                <w:sz w:val="24"/>
                <w:szCs w:val="24"/>
                <w:highlight w:val="none"/>
              </w:rPr>
            </w:pPr>
            <w:r>
              <w:rPr>
                <w:rFonts w:eastAsia="仿宋_GB2312" w:cs="Times New Roman"/>
                <w:b/>
                <w:bCs/>
                <w:sz w:val="24"/>
                <w:szCs w:val="24"/>
                <w:highlight w:val="none"/>
              </w:rPr>
              <w:t>工业互联网和区块链。</w:t>
            </w:r>
            <w:r>
              <w:rPr>
                <w:rFonts w:eastAsia="仿宋_GB2312" w:cs="Times New Roman"/>
                <w:sz w:val="24"/>
                <w:szCs w:val="24"/>
                <w:highlight w:val="none"/>
              </w:rPr>
              <w:t>依托昆山开发区、旅游度假区建设工业互联网平台二级解析节点，推进“星火·链网”骨干节点建设，打造昆山工业互联网和区块链产业应用生态。</w:t>
            </w:r>
          </w:p>
          <w:p>
            <w:pPr>
              <w:pStyle w:val="6"/>
              <w:spacing w:line="320" w:lineRule="exact"/>
              <w:ind w:firstLine="482"/>
              <w:rPr>
                <w:rFonts w:eastAsia="仿宋_GB2312" w:cs="Times New Roman"/>
                <w:sz w:val="24"/>
                <w:szCs w:val="24"/>
                <w:highlight w:val="none"/>
              </w:rPr>
            </w:pPr>
            <w:r>
              <w:rPr>
                <w:rFonts w:eastAsia="仿宋_GB2312" w:cs="Times New Roman"/>
                <w:b/>
                <w:bCs/>
                <w:sz w:val="24"/>
                <w:szCs w:val="24"/>
                <w:highlight w:val="none"/>
              </w:rPr>
              <w:t>工业软件。</w:t>
            </w:r>
            <w:r>
              <w:rPr>
                <w:rFonts w:eastAsia="仿宋_GB2312" w:cs="Times New Roman"/>
                <w:sz w:val="24"/>
                <w:szCs w:val="24"/>
                <w:highlight w:val="none"/>
              </w:rPr>
              <w:t>支持昆山软件园、花桥大数据产业园等，开展智能制造系统集成、汽车电子等领域的工业软件研发。</w:t>
            </w:r>
          </w:p>
          <w:p>
            <w:pPr>
              <w:pStyle w:val="6"/>
              <w:spacing w:line="320" w:lineRule="exact"/>
              <w:ind w:firstLine="482"/>
              <w:rPr>
                <w:rFonts w:eastAsia="方正仿宋_GBK" w:cs="Times New Roman"/>
                <w:sz w:val="28"/>
                <w:szCs w:val="28"/>
                <w:highlight w:val="none"/>
              </w:rPr>
            </w:pPr>
            <w:r>
              <w:rPr>
                <w:rFonts w:eastAsia="仿宋_GB2312" w:cs="Times New Roman"/>
                <w:b/>
                <w:bCs/>
                <w:sz w:val="24"/>
                <w:szCs w:val="24"/>
                <w:highlight w:val="none"/>
              </w:rPr>
              <w:t>人工智能。</w:t>
            </w:r>
            <w:r>
              <w:rPr>
                <w:rFonts w:eastAsia="仿宋_GB2312" w:cs="Times New Roman"/>
                <w:color w:val="auto"/>
                <w:kern w:val="2"/>
                <w:sz w:val="24"/>
                <w:szCs w:val="24"/>
                <w:highlight w:val="none"/>
              </w:rPr>
              <w:t>支持昆山高新区开展人工智能关键技术研</w:t>
            </w:r>
            <w:r>
              <w:rPr>
                <w:rFonts w:eastAsia="仿宋_GB2312" w:cs="Times New Roman"/>
                <w:sz w:val="24"/>
                <w:szCs w:val="24"/>
                <w:highlight w:val="none"/>
              </w:rPr>
              <w:t>发及产业化。支持昆山开发区发展智慧医疗、智慧家居等人工智能产业场景应用。</w:t>
            </w:r>
          </w:p>
        </w:tc>
      </w:tr>
    </w:tbl>
    <w:p>
      <w:pPr>
        <w:pStyle w:val="5"/>
        <w:rPr>
          <w:b/>
          <w:bCs/>
          <w:highlight w:val="none"/>
        </w:rPr>
      </w:pPr>
    </w:p>
    <w:p>
      <w:pPr>
        <w:pStyle w:val="4"/>
        <w:spacing w:line="600" w:lineRule="exact"/>
        <w:ind w:firstLine="643" w:firstLineChars="200"/>
        <w:outlineLvl w:val="1"/>
        <w:rPr>
          <w:rFonts w:eastAsia="楷体_GB2312"/>
          <w:b/>
          <w:bCs/>
          <w:color w:val="000000"/>
          <w:kern w:val="0"/>
          <w:sz w:val="32"/>
          <w:szCs w:val="32"/>
          <w:highlight w:val="none"/>
        </w:rPr>
      </w:pPr>
      <w:bookmarkStart w:id="257" w:name="_Toc22093"/>
      <w:bookmarkStart w:id="258" w:name="_Toc9043"/>
      <w:bookmarkStart w:id="259" w:name="_Toc28635"/>
      <w:bookmarkStart w:id="260" w:name="_Toc84829663"/>
      <w:bookmarkStart w:id="261" w:name="_Toc16698"/>
      <w:bookmarkStart w:id="262" w:name="_Toc19167"/>
      <w:bookmarkStart w:id="263" w:name="_Toc1066"/>
      <w:bookmarkStart w:id="264" w:name="_Toc6300"/>
      <w:bookmarkStart w:id="265" w:name="_Toc29752"/>
      <w:bookmarkStart w:id="266" w:name="_Toc28704"/>
      <w:bookmarkStart w:id="267" w:name="_Toc23504"/>
      <w:bookmarkStart w:id="268" w:name="_Toc81518453"/>
      <w:bookmarkStart w:id="269" w:name="_Toc22007"/>
      <w:bookmarkStart w:id="270" w:name="_Toc56776852"/>
      <w:bookmarkStart w:id="271" w:name="_Toc88424331"/>
      <w:bookmarkStart w:id="272" w:name="_Toc225"/>
      <w:bookmarkStart w:id="273" w:name="_Toc12875"/>
      <w:bookmarkStart w:id="274" w:name="_Toc21549"/>
      <w:bookmarkStart w:id="275" w:name="_Toc30081"/>
      <w:bookmarkStart w:id="276" w:name="_Toc30490"/>
      <w:bookmarkStart w:id="277" w:name="_Toc8855"/>
      <w:bookmarkStart w:id="278" w:name="_Toc78802172"/>
      <w:bookmarkStart w:id="279" w:name="_Toc7749"/>
      <w:bookmarkStart w:id="280" w:name="_Toc31390"/>
      <w:bookmarkStart w:id="281" w:name="_Toc31471"/>
      <w:bookmarkStart w:id="282" w:name="_Toc22433"/>
      <w:bookmarkStart w:id="283" w:name="_Toc25831"/>
      <w:r>
        <w:rPr>
          <w:rFonts w:eastAsia="楷体_GB2312"/>
          <w:b/>
          <w:bCs/>
          <w:color w:val="000000"/>
          <w:kern w:val="0"/>
          <w:sz w:val="32"/>
          <w:szCs w:val="32"/>
          <w:highlight w:val="none"/>
        </w:rPr>
        <w:t>（三）先导产业</w:t>
      </w:r>
      <w:bookmarkEnd w:id="257"/>
    </w:p>
    <w:p>
      <w:pPr>
        <w:pStyle w:val="4"/>
        <w:spacing w:line="600" w:lineRule="exact"/>
        <w:ind w:firstLine="643" w:firstLineChars="200"/>
        <w:outlineLvl w:val="2"/>
        <w:rPr>
          <w:rFonts w:eastAsia="仿宋_GB2312"/>
          <w:b/>
          <w:bCs/>
          <w:color w:val="000000"/>
          <w:kern w:val="0"/>
          <w:sz w:val="32"/>
          <w:szCs w:val="32"/>
          <w:highlight w:val="none"/>
        </w:rPr>
      </w:pPr>
      <w:r>
        <w:rPr>
          <w:rFonts w:eastAsia="仿宋_GB2312"/>
          <w:b/>
          <w:bCs/>
          <w:color w:val="000000"/>
          <w:kern w:val="0"/>
          <w:sz w:val="32"/>
          <w:szCs w:val="32"/>
          <w:highlight w:val="none"/>
        </w:rPr>
        <w:t>1.元宇宙</w:t>
      </w:r>
    </w:p>
    <w:p>
      <w:pPr>
        <w:pStyle w:val="4"/>
        <w:spacing w:line="600" w:lineRule="exact"/>
        <w:ind w:firstLine="643" w:firstLineChars="200"/>
        <w:rPr>
          <w:rFonts w:eastAsia="仿宋_GB2312"/>
          <w:bCs/>
          <w:color w:val="000000"/>
          <w:kern w:val="0"/>
          <w:sz w:val="32"/>
          <w:szCs w:val="32"/>
          <w:highlight w:val="none"/>
        </w:rPr>
      </w:pPr>
      <w:bookmarkStart w:id="284" w:name="_Toc26243"/>
      <w:r>
        <w:rPr>
          <w:rFonts w:eastAsia="仿宋_GB2312"/>
          <w:b/>
          <w:bCs/>
          <w:color w:val="000000"/>
          <w:kern w:val="0"/>
          <w:sz w:val="32"/>
          <w:szCs w:val="32"/>
          <w:highlight w:val="none"/>
        </w:rPr>
        <w:t>基础研究攻关</w:t>
      </w:r>
      <w:r>
        <w:rPr>
          <w:rFonts w:eastAsia="仿宋_GB2312"/>
          <w:bCs/>
          <w:color w:val="000000"/>
          <w:kern w:val="0"/>
          <w:sz w:val="32"/>
          <w:szCs w:val="32"/>
          <w:highlight w:val="none"/>
        </w:rPr>
        <w:t>。围绕元宇宙重点领域关键技术实施重大科技专项。鼓励企业、高校及科研院所采用“揭榜挂帅”方式，对NFT、VR/AR/MR/XR、脑机接口、智能芯片、智能算法等元宇宙关键技术进行协同攻关，支持元宇宙领域的前沿技术突破。</w:t>
      </w:r>
      <w:bookmarkEnd w:id="284"/>
    </w:p>
    <w:p>
      <w:pPr>
        <w:pStyle w:val="4"/>
        <w:spacing w:line="600" w:lineRule="exact"/>
        <w:ind w:firstLine="643" w:firstLineChars="200"/>
        <w:rPr>
          <w:rFonts w:eastAsia="仿宋_GB2312"/>
          <w:bCs/>
          <w:color w:val="000000"/>
          <w:kern w:val="0"/>
          <w:sz w:val="32"/>
          <w:szCs w:val="32"/>
          <w:highlight w:val="none"/>
        </w:rPr>
      </w:pPr>
      <w:r>
        <w:rPr>
          <w:rFonts w:eastAsia="仿宋_GB2312"/>
          <w:b/>
          <w:bCs/>
          <w:color w:val="000000"/>
          <w:kern w:val="0"/>
          <w:sz w:val="32"/>
          <w:szCs w:val="32"/>
          <w:highlight w:val="none"/>
        </w:rPr>
        <w:t>硬件产品供给</w:t>
      </w:r>
      <w:r>
        <w:rPr>
          <w:rFonts w:eastAsia="仿宋_GB2312"/>
          <w:bCs/>
          <w:color w:val="000000"/>
          <w:kern w:val="0"/>
          <w:sz w:val="32"/>
          <w:szCs w:val="32"/>
          <w:highlight w:val="none"/>
        </w:rPr>
        <w:t>。光学模组领域，探索发展Pancake超短焦光学模组、自由曲面、BirdBath偏振复合光导阵列与衍射光波导等光学器件。显示器件领域，巩固提升薄膜晶体管（TFT-LCD）、低温多晶硅（LTPS）等显示面板工艺体系，前瞻布局4K以上快速响应液晶（Fast LCD）、硅基OLED、Micro/Mini LED等新型近眼显示器件。头戴显示设备领域，布局一体式、分体式等多形态虚拟现实和增强现实设备，推动向低功耗、小体积、大视角、可变景深方向发展。面向制造、教育、文化、健康、商贸等重点行业领域，开发特定应用场景虚拟现实（VR）和增强现实(AR)终端设备。</w:t>
      </w:r>
    </w:p>
    <w:p>
      <w:pPr>
        <w:pStyle w:val="4"/>
        <w:spacing w:line="600" w:lineRule="exact"/>
        <w:ind w:firstLine="643" w:firstLineChars="200"/>
        <w:rPr>
          <w:rFonts w:eastAsia="仿宋_GB2312"/>
          <w:bCs/>
          <w:color w:val="000000"/>
          <w:kern w:val="0"/>
          <w:sz w:val="32"/>
          <w:szCs w:val="32"/>
          <w:highlight w:val="none"/>
        </w:rPr>
      </w:pPr>
      <w:bookmarkStart w:id="285" w:name="_Toc17150"/>
      <w:r>
        <w:rPr>
          <w:rFonts w:eastAsia="仿宋_GB2312"/>
          <w:b/>
          <w:bCs/>
          <w:color w:val="000000"/>
          <w:kern w:val="0"/>
          <w:sz w:val="32"/>
          <w:szCs w:val="32"/>
          <w:highlight w:val="none"/>
        </w:rPr>
        <w:t>应用场景建设</w:t>
      </w:r>
      <w:r>
        <w:rPr>
          <w:rFonts w:eastAsia="仿宋_GB2312"/>
          <w:bCs/>
          <w:color w:val="000000"/>
          <w:kern w:val="0"/>
          <w:sz w:val="32"/>
          <w:szCs w:val="32"/>
          <w:highlight w:val="none"/>
        </w:rPr>
        <w:t>。依托周庄古镇、锦溪古镇等昆山地标，及昆曲、并蒂莲等城市名片，支持科研院所和企业打造具有</w:t>
      </w:r>
      <w:r>
        <w:rPr>
          <w:rFonts w:hint="eastAsia" w:eastAsia="仿宋_GB2312"/>
          <w:bCs/>
          <w:color w:val="000000"/>
          <w:kern w:val="0"/>
          <w:sz w:val="32"/>
          <w:szCs w:val="32"/>
          <w:highlight w:val="none"/>
        </w:rPr>
        <w:t>昆山</w:t>
      </w:r>
      <w:r>
        <w:rPr>
          <w:rFonts w:eastAsia="仿宋_GB2312"/>
          <w:bCs/>
          <w:color w:val="000000"/>
          <w:kern w:val="0"/>
          <w:sz w:val="32"/>
          <w:szCs w:val="32"/>
          <w:highlight w:val="none"/>
        </w:rPr>
        <w:t>特色元素的元宇宙应用场景，打造一批会展、旅游、体育、商业领域的特色场景示范案例。</w:t>
      </w:r>
      <w:bookmarkEnd w:id="285"/>
    </w:p>
    <w:p>
      <w:pPr>
        <w:pStyle w:val="4"/>
        <w:spacing w:line="600" w:lineRule="exact"/>
        <w:ind w:firstLine="643" w:firstLineChars="200"/>
        <w:outlineLvl w:val="2"/>
        <w:rPr>
          <w:rFonts w:eastAsia="仿宋_GB2312"/>
          <w:b/>
          <w:color w:val="000000"/>
          <w:sz w:val="32"/>
          <w:szCs w:val="32"/>
          <w:highlight w:val="none"/>
        </w:rPr>
      </w:pPr>
      <w:r>
        <w:rPr>
          <w:rFonts w:hint="eastAsia" w:eastAsia="仿宋_GB2312"/>
          <w:b/>
          <w:bCs/>
          <w:color w:val="000000"/>
          <w:kern w:val="0"/>
          <w:sz w:val="32"/>
          <w:szCs w:val="32"/>
          <w:highlight w:val="none"/>
        </w:rPr>
        <w:t>2</w:t>
      </w:r>
      <w:r>
        <w:rPr>
          <w:rFonts w:eastAsia="仿宋_GB2312"/>
          <w:b/>
          <w:bCs/>
          <w:color w:val="000000"/>
          <w:kern w:val="0"/>
          <w:sz w:val="32"/>
          <w:szCs w:val="32"/>
          <w:highlight w:val="none"/>
        </w:rPr>
        <w:t>.智能网联汽车</w:t>
      </w:r>
    </w:p>
    <w:p>
      <w:pPr>
        <w:pStyle w:val="4"/>
        <w:spacing w:line="600" w:lineRule="exact"/>
        <w:ind w:firstLine="640" w:firstLineChars="200"/>
        <w:rPr>
          <w:highlight w:val="none"/>
        </w:rPr>
      </w:pPr>
      <w:r>
        <w:rPr>
          <w:rFonts w:eastAsia="仿宋_GB2312"/>
          <w:sz w:val="32"/>
          <w:szCs w:val="32"/>
          <w:highlight w:val="none"/>
        </w:rPr>
        <w:t>着力引培一批智能网联汽车企业，鼓励车载光学、车规级芯片、激光雷达、毫米波雷达、高精定位、人机交互终端等关键部件研发和产业化，支持发展应急制动系统、自动泊车系统、碰撞预警、限速识别、盲区识别、车道线保持等驾驶辅助总成类产品。支持汽车驾驶辅助系统、部分自动驾驶系统、有条件自动驾驶系统等软件研发，开展智能网联汽车应用示范。加快智能驾驶及车路协同技术、车载环境感知控制器技术、基于网联的车载智能信息服务系统技术、数据安全及平台软件等关键技术攻关，</w:t>
      </w:r>
      <w:r>
        <w:rPr>
          <w:rFonts w:hint="eastAsia" w:eastAsia="仿宋_GB2312"/>
          <w:sz w:val="32"/>
          <w:szCs w:val="32"/>
          <w:highlight w:val="none"/>
        </w:rPr>
        <w:t>探索</w:t>
      </w:r>
      <w:r>
        <w:rPr>
          <w:rFonts w:eastAsia="仿宋_GB2312"/>
          <w:sz w:val="32"/>
          <w:szCs w:val="32"/>
          <w:highlight w:val="none"/>
        </w:rPr>
        <w:t>智能网联汽车道路测试与示范应用。围绕智能整车设计、执行控制、车路协同等重点领域，加快汽车线控系统、智慧底盘系统、电驱动一体化总成等技术攻关，积极推动车用智能芯片和计算机视觉等产品研发与应用。</w:t>
      </w:r>
    </w:p>
    <w:p>
      <w:pPr>
        <w:pStyle w:val="4"/>
        <w:spacing w:line="600" w:lineRule="exact"/>
        <w:ind w:firstLine="643" w:firstLineChars="200"/>
        <w:outlineLvl w:val="2"/>
        <w:rPr>
          <w:rFonts w:eastAsia="仿宋_GB2312"/>
          <w:b/>
          <w:bCs/>
          <w:szCs w:val="32"/>
          <w:highlight w:val="none"/>
        </w:rPr>
      </w:pPr>
      <w:r>
        <w:rPr>
          <w:rFonts w:hint="eastAsia" w:eastAsia="仿宋_GB2312"/>
          <w:b/>
          <w:bCs/>
          <w:color w:val="000000"/>
          <w:kern w:val="0"/>
          <w:sz w:val="32"/>
          <w:szCs w:val="32"/>
          <w:highlight w:val="none"/>
        </w:rPr>
        <w:t>3</w:t>
      </w:r>
      <w:r>
        <w:rPr>
          <w:rFonts w:eastAsia="仿宋_GB2312"/>
          <w:b/>
          <w:bCs/>
          <w:color w:val="000000"/>
          <w:kern w:val="0"/>
          <w:sz w:val="32"/>
          <w:szCs w:val="32"/>
          <w:highlight w:val="none"/>
        </w:rPr>
        <w:t>.人形机器人</w:t>
      </w:r>
    </w:p>
    <w:p>
      <w:pPr>
        <w:pStyle w:val="4"/>
        <w:spacing w:line="600" w:lineRule="exact"/>
        <w:ind w:firstLine="640" w:firstLineChars="200"/>
        <w:rPr>
          <w:rFonts w:eastAsia="仿宋_GB2312"/>
          <w:sz w:val="32"/>
          <w:szCs w:val="32"/>
          <w:highlight w:val="none"/>
        </w:rPr>
      </w:pPr>
      <w:r>
        <w:rPr>
          <w:rFonts w:eastAsia="仿宋_GB2312"/>
          <w:sz w:val="32"/>
          <w:szCs w:val="32"/>
          <w:highlight w:val="none"/>
        </w:rPr>
        <w:t>重点开展仿生感知认知、生机电融合、人工智能、视觉导航等技术研究突破与系统集成，鼓励行业组织建设软硬协同的通用型人形机器人开源创新平台，以开放的产业生态降低应用技术成本，支持企业强化商用场景和个人、家庭应用场景探索，加速智能制造、养老陪护等场景的应用培育。</w:t>
      </w:r>
    </w:p>
    <w:p>
      <w:pPr>
        <w:pStyle w:val="4"/>
        <w:spacing w:line="600" w:lineRule="exact"/>
        <w:ind w:firstLine="643" w:firstLineChars="200"/>
        <w:outlineLvl w:val="2"/>
        <w:rPr>
          <w:rFonts w:eastAsia="仿宋_GB2312"/>
          <w:b/>
          <w:bCs/>
          <w:color w:val="000000"/>
          <w:kern w:val="0"/>
          <w:sz w:val="32"/>
          <w:szCs w:val="32"/>
          <w:highlight w:val="none"/>
        </w:rPr>
      </w:pPr>
      <w:r>
        <w:rPr>
          <w:rFonts w:hint="eastAsia" w:eastAsia="仿宋_GB2312"/>
          <w:b/>
          <w:bCs/>
          <w:color w:val="000000"/>
          <w:kern w:val="0"/>
          <w:sz w:val="32"/>
          <w:szCs w:val="32"/>
          <w:highlight w:val="none"/>
        </w:rPr>
        <w:t>4</w:t>
      </w:r>
      <w:r>
        <w:rPr>
          <w:rFonts w:eastAsia="仿宋_GB2312"/>
          <w:b/>
          <w:bCs/>
          <w:color w:val="000000"/>
          <w:kern w:val="0"/>
          <w:sz w:val="32"/>
          <w:szCs w:val="32"/>
          <w:highlight w:val="none"/>
        </w:rPr>
        <w:t>.增材制造</w:t>
      </w:r>
    </w:p>
    <w:p>
      <w:pPr>
        <w:pStyle w:val="4"/>
        <w:spacing w:line="600" w:lineRule="exact"/>
        <w:ind w:firstLine="640" w:firstLineChars="200"/>
        <w:rPr>
          <w:rFonts w:eastAsia="仿宋_GB2312"/>
          <w:sz w:val="32"/>
          <w:szCs w:val="32"/>
          <w:highlight w:val="none"/>
        </w:rPr>
      </w:pPr>
      <w:r>
        <w:rPr>
          <w:rFonts w:eastAsia="仿宋_GB2312"/>
          <w:sz w:val="32"/>
          <w:szCs w:val="32"/>
          <w:highlight w:val="none"/>
        </w:rPr>
        <w:t>面向航空航天、汽车、家电、文化创意、生物医疗、创新教育等领域重大需求，重点发展激光/电子束高效选区熔化、大型整体构件激光、液态金属喷墨打印等金属材料增材制造设备，高性能陶瓷、生物医学、食品等非金属材料增材制造设备，</w:t>
      </w:r>
      <w:r>
        <w:rPr>
          <w:rFonts w:eastAsia="仿宋_GB2312"/>
          <w:color w:val="000000"/>
          <w:sz w:val="32"/>
          <w:szCs w:val="32"/>
          <w:highlight w:val="none"/>
        </w:rPr>
        <w:t>鼓励企业</w:t>
      </w:r>
      <w:r>
        <w:rPr>
          <w:rFonts w:eastAsia="仿宋_GB2312"/>
          <w:sz w:val="32"/>
          <w:szCs w:val="32"/>
          <w:highlight w:val="none"/>
        </w:rPr>
        <w:t>聚焦材料、装备、工艺、软件等关键环节，加快激光器、振镜等关键零部件及相关智能软件研发，促进增材制造产业健康有序发展。</w:t>
      </w:r>
    </w:p>
    <w:p>
      <w:pPr>
        <w:pStyle w:val="4"/>
        <w:spacing w:line="600" w:lineRule="exact"/>
        <w:ind w:firstLine="640" w:firstLineChars="200"/>
        <w:outlineLvl w:val="0"/>
        <w:rPr>
          <w:rFonts w:eastAsia="黑体"/>
          <w:sz w:val="32"/>
          <w:szCs w:val="32"/>
          <w:highlight w:val="none"/>
        </w:rPr>
      </w:pPr>
      <w:bookmarkStart w:id="286" w:name="_Toc32499"/>
      <w:r>
        <w:rPr>
          <w:rFonts w:eastAsia="黑体"/>
          <w:sz w:val="32"/>
          <w:szCs w:val="32"/>
          <w:highlight w:val="none"/>
        </w:rPr>
        <w:t>四、主要任务</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6"/>
    </w:p>
    <w:p>
      <w:pPr>
        <w:pStyle w:val="11"/>
        <w:spacing w:before="0" w:beforeAutospacing="0" w:after="0" w:afterAutospacing="0" w:line="600" w:lineRule="exact"/>
        <w:ind w:firstLine="640" w:firstLineChars="200"/>
        <w:jc w:val="both"/>
        <w:rPr>
          <w:rFonts w:eastAsia="仿宋_GB2312"/>
          <w:kern w:val="2"/>
          <w:sz w:val="32"/>
          <w:szCs w:val="32"/>
          <w:highlight w:val="none"/>
        </w:rPr>
      </w:pPr>
      <w:r>
        <w:rPr>
          <w:rFonts w:eastAsia="仿宋_GB2312"/>
          <w:kern w:val="2"/>
          <w:sz w:val="32"/>
          <w:szCs w:val="32"/>
          <w:highlight w:val="none"/>
        </w:rPr>
        <w:t>在产业技术研发上谋创新，在新兴产业布局上求突破，在产业生态培育上促提升，聚焦产业迭代升级和集群创新发展，加快构建以创新型企业和高尖端人才为主体，联合高等院校、科研机构、行业组织、金融机构、公共服务机构等多元组织，以知识和技术创新产生价值为主要运行业务的高水平产业创新集群，加快向高端化、智能化、绿色化、服务化转型，深度融入“双循环”新发展格局，全力厚植临沪、对台合作新优势，全面提升制造业总量、质量和创新力，实现制造业综合实力新超越。</w:t>
      </w:r>
    </w:p>
    <w:p>
      <w:pPr>
        <w:pStyle w:val="5"/>
        <w:spacing w:line="600" w:lineRule="exact"/>
        <w:ind w:firstLine="643" w:firstLineChars="200"/>
        <w:outlineLvl w:val="1"/>
        <w:rPr>
          <w:highlight w:val="none"/>
        </w:rPr>
      </w:pPr>
      <w:bookmarkStart w:id="287" w:name="_Toc11134"/>
      <w:bookmarkStart w:id="288" w:name="_Toc88424332"/>
      <w:bookmarkStart w:id="289" w:name="_Toc6129"/>
      <w:bookmarkStart w:id="290" w:name="_Toc21174"/>
      <w:bookmarkStart w:id="291" w:name="_Toc9146"/>
      <w:bookmarkStart w:id="292" w:name="_Toc23370"/>
      <w:bookmarkStart w:id="293" w:name="_Toc4619"/>
      <w:bookmarkStart w:id="294" w:name="_Toc81518454"/>
      <w:bookmarkStart w:id="295" w:name="_Toc31644"/>
      <w:bookmarkStart w:id="296" w:name="_Toc9215"/>
      <w:r>
        <w:rPr>
          <w:rFonts w:eastAsia="楷体_GB2312"/>
          <w:b/>
          <w:bCs/>
          <w:sz w:val="32"/>
          <w:szCs w:val="32"/>
          <w:highlight w:val="none"/>
        </w:rPr>
        <w:t>（一）构建现代产业体系，凝聚产业链新动能</w:t>
      </w:r>
      <w:bookmarkEnd w:id="287"/>
      <w:bookmarkEnd w:id="288"/>
      <w:bookmarkEnd w:id="289"/>
      <w:bookmarkEnd w:id="290"/>
      <w:bookmarkEnd w:id="291"/>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高质量培育产业创新集群。</w:t>
      </w:r>
      <w:r>
        <w:rPr>
          <w:rFonts w:eastAsia="仿宋_GB2312"/>
          <w:sz w:val="32"/>
          <w:szCs w:val="32"/>
          <w:highlight w:val="none"/>
        </w:rPr>
        <w:t>有效调动市场积极性、主动性、创造性，按照“打造特色创新集群，提升土地产出率、资源循环利用率和智能制造普及率”的“一特三提升”要求，积极稳妥地推进全市工业园区“二次开发”转型提升，围绕“2+6+X”产业体系，打造电子信息和装备制造两个主导产业，新显示、新智造、新医疗、新能源、新材料、新数字六大新兴产业。各区镇结合产业创新集群特色优势，在全市特色园区定位上覆盖10个以上细分领域类型，努力形成产业结构明显优化、规模效应明显增强、创新功能明显跃升、集聚辐射能力明显提升，差异化发展、错位竞争的特色园区新格局。</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高标准建设现代产业体系。</w:t>
      </w:r>
      <w:r>
        <w:rPr>
          <w:rFonts w:eastAsia="仿宋_GB2312"/>
          <w:sz w:val="32"/>
          <w:szCs w:val="32"/>
          <w:highlight w:val="none"/>
        </w:rPr>
        <w:t>围绕</w:t>
      </w:r>
      <w:r>
        <w:rPr>
          <w:rFonts w:eastAsia="仿宋_GB2312"/>
          <w:color w:val="000000"/>
          <w:sz w:val="32"/>
          <w:szCs w:val="32"/>
          <w:highlight w:val="none"/>
        </w:rPr>
        <w:t>“2+6+X”现代产业体系</w:t>
      </w:r>
      <w:r>
        <w:rPr>
          <w:rFonts w:eastAsia="仿宋_GB2312"/>
          <w:sz w:val="32"/>
          <w:szCs w:val="32"/>
          <w:highlight w:val="none"/>
        </w:rPr>
        <w:t>，推动产业链现代化发展。打造光电显示标志性产业链，强化“原材料—面板—模组—整机—设备”全链条建设。培育集成电路产业链，巩固封测优势环节，推动设计和制造高端化发展，加强设备和材料配套能力。做强做大小核酸和创新药、高端医疗器械、智能装备和机器人等产业链优势环节，提高高端产品供给能力。实施产业链提升工程，绘制产业链图谱，聚焦关键环节强链、立足优势产业固链、着眼核心技术补链，加快向全球产业链价值链高端攀升，全面提升产业链现代化水平。</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提升产业链抗风险能力。</w:t>
      </w:r>
      <w:r>
        <w:rPr>
          <w:rFonts w:eastAsia="仿宋_GB2312"/>
          <w:sz w:val="32"/>
          <w:szCs w:val="32"/>
          <w:highlight w:val="none"/>
        </w:rPr>
        <w:t>加强产业链供应链安全评估，建设完善产业链核心企业库和关键产品供需清单，动态跟踪百亿级龙头企业上游海外关键零部件、原材料等供给情况。畅通供应链供需对接，打造一批供应链平台企业，探索开展关键零部件、重要原材料、核心技术的对接服务。加强国际产业安全合作，支持重点备品备件储备，推动供应链多元化、本地化、区域化配置，增强产业链供应链抗冲击能力。</w:t>
      </w:r>
    </w:p>
    <w:p>
      <w:pPr>
        <w:pStyle w:val="11"/>
        <w:spacing w:before="0" w:beforeAutospacing="0" w:after="0" w:afterAutospacing="0" w:line="600" w:lineRule="exact"/>
        <w:ind w:firstLine="643" w:firstLineChars="200"/>
        <w:jc w:val="both"/>
        <w:outlineLvl w:val="1"/>
        <w:rPr>
          <w:rFonts w:eastAsia="楷体_GB2312"/>
          <w:b/>
          <w:bCs/>
          <w:kern w:val="2"/>
          <w:sz w:val="32"/>
          <w:szCs w:val="32"/>
          <w:highlight w:val="none"/>
        </w:rPr>
      </w:pPr>
      <w:bookmarkStart w:id="297" w:name="_Toc84829665"/>
      <w:bookmarkStart w:id="298" w:name="_Toc26469"/>
      <w:bookmarkStart w:id="299" w:name="_Toc22396"/>
      <w:bookmarkStart w:id="300" w:name="_Toc22074"/>
      <w:bookmarkStart w:id="301" w:name="_Toc88424333"/>
      <w:bookmarkStart w:id="302" w:name="_Toc26178"/>
      <w:bookmarkStart w:id="303" w:name="_Toc20967"/>
      <w:bookmarkStart w:id="304" w:name="_Toc1555"/>
      <w:bookmarkStart w:id="305" w:name="_Toc24858"/>
      <w:r>
        <w:rPr>
          <w:rFonts w:eastAsia="楷体_GB2312"/>
          <w:b/>
          <w:bCs/>
          <w:kern w:val="2"/>
          <w:sz w:val="32"/>
          <w:szCs w:val="32"/>
          <w:highlight w:val="none"/>
        </w:rPr>
        <w:t>（二）</w:t>
      </w:r>
      <w:bookmarkEnd w:id="297"/>
      <w:bookmarkEnd w:id="298"/>
      <w:bookmarkEnd w:id="299"/>
      <w:bookmarkEnd w:id="300"/>
      <w:r>
        <w:rPr>
          <w:rFonts w:eastAsia="楷体_GB2312"/>
          <w:b/>
          <w:bCs/>
          <w:kern w:val="2"/>
          <w:sz w:val="32"/>
          <w:szCs w:val="32"/>
          <w:highlight w:val="none"/>
        </w:rPr>
        <w:t>聚集科创中心资源，增强自主创新能力</w:t>
      </w:r>
      <w:bookmarkEnd w:id="301"/>
      <w:bookmarkEnd w:id="302"/>
      <w:bookmarkEnd w:id="303"/>
      <w:bookmarkEnd w:id="304"/>
      <w:bookmarkEnd w:id="305"/>
    </w:p>
    <w:p>
      <w:pPr>
        <w:pStyle w:val="4"/>
        <w:spacing w:line="600" w:lineRule="exact"/>
        <w:ind w:firstLine="643" w:firstLineChars="200"/>
        <w:rPr>
          <w:rFonts w:eastAsia="仿宋_GB2312"/>
          <w:b/>
          <w:bCs/>
          <w:sz w:val="32"/>
          <w:szCs w:val="32"/>
          <w:highlight w:val="none"/>
        </w:rPr>
      </w:pPr>
      <w:r>
        <w:rPr>
          <w:rFonts w:eastAsia="仿宋_GB2312"/>
          <w:b/>
          <w:bCs/>
          <w:sz w:val="32"/>
          <w:szCs w:val="32"/>
          <w:highlight w:val="none"/>
        </w:rPr>
        <w:t>推动产业基础高级化</w:t>
      </w:r>
      <w:r>
        <w:rPr>
          <w:rFonts w:eastAsia="楷体_GB2312"/>
          <w:b/>
          <w:bCs/>
          <w:sz w:val="32"/>
          <w:szCs w:val="32"/>
          <w:highlight w:val="none"/>
        </w:rPr>
        <w:t>。</w:t>
      </w:r>
      <w:r>
        <w:rPr>
          <w:rFonts w:eastAsia="仿宋_GB2312"/>
          <w:sz w:val="32"/>
          <w:szCs w:val="32"/>
          <w:highlight w:val="none"/>
        </w:rPr>
        <w:t>积极参与工业强基、产业基础再造等工程，主动承接产业基础提升相关重点项目。聚焦</w:t>
      </w:r>
      <w:r>
        <w:rPr>
          <w:rFonts w:eastAsia="仿宋_GB2312"/>
          <w:color w:val="000000"/>
          <w:sz w:val="32"/>
          <w:szCs w:val="32"/>
          <w:highlight w:val="none"/>
        </w:rPr>
        <w:t>“2+6+X”现代产业体系</w:t>
      </w:r>
      <w:r>
        <w:rPr>
          <w:rFonts w:eastAsia="仿宋_GB2312"/>
          <w:sz w:val="32"/>
          <w:szCs w:val="32"/>
          <w:highlight w:val="none"/>
        </w:rPr>
        <w:t>，加快核心基础零部件（元器件）、关键基础材料、先进基础工艺、产业技术基础和工业基础软件等“五基”领域的技术和产品攻关。聚集阳澄湖两岸科创中心创新资源及特色产业，突出应用牵引、整机带动，引导基础材料、基础零部件、工业软件和整机企业协同攻关，加快基础产品应用推广和质量提升。支持企业参与材料科学姑苏实验室等重大科技创新平台建设。</w:t>
      </w:r>
    </w:p>
    <w:p>
      <w:pPr>
        <w:pStyle w:val="11"/>
        <w:shd w:val="clear" w:color="auto" w:fill="FFFFFF"/>
        <w:spacing w:before="0" w:beforeAutospacing="0" w:after="0" w:afterAutospacing="0" w:line="600" w:lineRule="exact"/>
        <w:ind w:firstLine="643" w:firstLineChars="200"/>
        <w:jc w:val="both"/>
        <w:rPr>
          <w:rFonts w:eastAsia="仿宋_GB2312"/>
          <w:kern w:val="2"/>
          <w:sz w:val="32"/>
          <w:szCs w:val="32"/>
          <w:highlight w:val="none"/>
        </w:rPr>
      </w:pPr>
      <w:r>
        <w:rPr>
          <w:rFonts w:eastAsia="仿宋_GB2312"/>
          <w:b/>
          <w:bCs/>
          <w:kern w:val="2"/>
          <w:sz w:val="32"/>
          <w:szCs w:val="32"/>
          <w:highlight w:val="none"/>
        </w:rPr>
        <w:t>强化关键核心技术攻关。</w:t>
      </w:r>
      <w:r>
        <w:rPr>
          <w:rFonts w:eastAsia="仿宋_GB2312"/>
          <w:kern w:val="2"/>
          <w:sz w:val="32"/>
          <w:szCs w:val="32"/>
          <w:highlight w:val="none"/>
        </w:rPr>
        <w:t>聚焦新显示、新智造、新医疗、新能源、新材料等领域，实施一批核心技术攻关项目，研发一批基础材料、关键零部件和重大成套装备产品。加强院地合作、校企联合，深入实施祖冲之自主可控产业技术攻关计划，深化“揭榜挂帅”、定向择优、联合招标等新机制，推动院所有效供给精准对接企业需求，促进产学研用深度融合。前瞻布局人工智能、第三代半导体、量子计算、基因与细胞治疗等前沿领域，招引知名科研院所和研发团队落户，攻克一批前沿技术，抢占发展先机。</w:t>
      </w:r>
    </w:p>
    <w:p>
      <w:pPr>
        <w:pStyle w:val="11"/>
        <w:shd w:val="clear" w:color="auto" w:fill="FFFFFF"/>
        <w:spacing w:before="0" w:beforeAutospacing="0" w:after="0" w:afterAutospacing="0" w:line="600" w:lineRule="exact"/>
        <w:ind w:firstLine="643" w:firstLineChars="200"/>
        <w:jc w:val="both"/>
        <w:rPr>
          <w:rFonts w:eastAsia="仿宋_GB2312"/>
          <w:kern w:val="2"/>
          <w:sz w:val="32"/>
          <w:szCs w:val="32"/>
          <w:highlight w:val="none"/>
        </w:rPr>
      </w:pPr>
      <w:r>
        <w:rPr>
          <w:rFonts w:eastAsia="仿宋_GB2312"/>
          <w:b/>
          <w:bCs/>
          <w:kern w:val="2"/>
          <w:sz w:val="32"/>
          <w:szCs w:val="32"/>
          <w:highlight w:val="none"/>
        </w:rPr>
        <w:t>提升企业自主创新能力。</w:t>
      </w:r>
      <w:r>
        <w:rPr>
          <w:rFonts w:eastAsia="仿宋_GB2312"/>
          <w:kern w:val="2"/>
          <w:sz w:val="32"/>
          <w:szCs w:val="32"/>
          <w:highlight w:val="none"/>
        </w:rPr>
        <w:t>强化企业创新主体地位，支持企业加大研发投入，深化与大院大所战略合作，高质量建设企业技术中心、工程技术中心、重点实验室等研发机构，力争实现规上工业企业研发活动、研发机构全覆盖。鼓励企业牵头承担国家、省级重大科技攻关项目。鼓励有条件的企业在国内一二线城市及海外设立创新中心、异地孵化器等，拓展研发创新合作网络。鼓励企业牵头，联合高校科研院所建设中试基地，对科研成果进行中试研究与开发，提升产学研联合转化能力。加强知识产权保护，支持企业强化国内外专利申请和布局，形成一批高价值的知识产权密集型产品。</w:t>
      </w:r>
    </w:p>
    <w:p>
      <w:pPr>
        <w:pStyle w:val="11"/>
        <w:shd w:val="clear" w:color="auto" w:fill="FFFFFF"/>
        <w:spacing w:before="0" w:beforeAutospacing="0" w:after="0" w:afterAutospacing="0" w:line="600" w:lineRule="exact"/>
        <w:ind w:firstLine="643" w:firstLineChars="200"/>
        <w:jc w:val="both"/>
        <w:rPr>
          <w:rFonts w:eastAsia="仿宋_GB2312"/>
          <w:kern w:val="2"/>
          <w:sz w:val="32"/>
          <w:szCs w:val="32"/>
          <w:highlight w:val="none"/>
        </w:rPr>
      </w:pPr>
      <w:r>
        <w:rPr>
          <w:rFonts w:eastAsia="仿宋_GB2312"/>
          <w:b/>
          <w:bCs/>
          <w:kern w:val="2"/>
          <w:sz w:val="32"/>
          <w:szCs w:val="32"/>
          <w:highlight w:val="none"/>
        </w:rPr>
        <w:t>加快高端创新载体建设。</w:t>
      </w:r>
      <w:r>
        <w:rPr>
          <w:rFonts w:eastAsia="仿宋_GB2312"/>
          <w:kern w:val="2"/>
          <w:sz w:val="32"/>
          <w:szCs w:val="32"/>
          <w:highlight w:val="none"/>
        </w:rPr>
        <w:t>深化与中科院等大院大所合作，积极争取国家重点实验室或分中心等在昆山布局，引进共建一批国家级重大研发平台。加快阳澄湖两岸科创中心城市创新区建设，加强昆山杜克大学、国家超级计算昆山中心、深时数字地球国际卓越研究中心、昆山工业技术研究院等重大创新载体建设。高效运作重点新型研发机构，促进创新资源优化配置，强化产业技术精准供给，加快科技成果转化。支持龙头骨干企业牵头建设一批省级制造业创新中心、产业创新中心、技术创新中心。依托蒲公英科创产业园等，加快打造人才科技创新创业孵化平台。完善科技公共服务平台运营机制，高水平建设一批技术转移机构、中试平台、测试平台等，加强技术经理人队伍建设，提升科技创新服务水平。</w:t>
      </w:r>
    </w:p>
    <w:bookmarkEnd w:id="292"/>
    <w:bookmarkEnd w:id="293"/>
    <w:bookmarkEnd w:id="294"/>
    <w:bookmarkEnd w:id="295"/>
    <w:bookmarkEnd w:id="296"/>
    <w:p>
      <w:pPr>
        <w:pStyle w:val="4"/>
        <w:spacing w:line="600" w:lineRule="exact"/>
        <w:ind w:firstLine="643" w:firstLineChars="200"/>
        <w:outlineLvl w:val="1"/>
        <w:rPr>
          <w:rFonts w:eastAsia="楷体_GB2312"/>
          <w:b/>
          <w:bCs/>
          <w:sz w:val="32"/>
          <w:szCs w:val="32"/>
          <w:highlight w:val="none"/>
        </w:rPr>
      </w:pPr>
      <w:bookmarkStart w:id="306" w:name="_Toc84829666"/>
      <w:bookmarkStart w:id="307" w:name="_Toc10795"/>
      <w:bookmarkStart w:id="308" w:name="_Toc81518456"/>
      <w:bookmarkStart w:id="309" w:name="_Toc16312"/>
      <w:bookmarkStart w:id="310" w:name="_Toc29228"/>
      <w:bookmarkStart w:id="311" w:name="_Toc526"/>
      <w:bookmarkStart w:id="312" w:name="_Toc10521"/>
      <w:bookmarkStart w:id="313" w:name="_Toc16741"/>
      <w:bookmarkStart w:id="314" w:name="_Toc7249"/>
      <w:bookmarkStart w:id="315" w:name="_Toc10423"/>
      <w:bookmarkStart w:id="316" w:name="_Toc16198"/>
      <w:bookmarkStart w:id="317" w:name="_Toc88424334"/>
      <w:bookmarkStart w:id="318" w:name="_Toc17025"/>
      <w:bookmarkStart w:id="319" w:name="_Toc1285"/>
      <w:r>
        <w:rPr>
          <w:rFonts w:eastAsia="楷体_GB2312"/>
          <w:b/>
          <w:bCs/>
          <w:sz w:val="32"/>
          <w:szCs w:val="32"/>
          <w:highlight w:val="none"/>
        </w:rPr>
        <w:t>（三）突出智能制造引领，</w:t>
      </w:r>
      <w:bookmarkEnd w:id="306"/>
      <w:bookmarkEnd w:id="307"/>
      <w:bookmarkEnd w:id="308"/>
      <w:bookmarkEnd w:id="309"/>
      <w:bookmarkEnd w:id="310"/>
      <w:bookmarkEnd w:id="311"/>
      <w:bookmarkEnd w:id="312"/>
      <w:bookmarkEnd w:id="313"/>
      <w:bookmarkEnd w:id="314"/>
      <w:bookmarkEnd w:id="315"/>
      <w:bookmarkEnd w:id="316"/>
      <w:r>
        <w:rPr>
          <w:rFonts w:eastAsia="楷体_GB2312"/>
          <w:b/>
          <w:bCs/>
          <w:sz w:val="32"/>
          <w:szCs w:val="32"/>
          <w:highlight w:val="none"/>
        </w:rPr>
        <w:t>深化产业</w:t>
      </w:r>
      <w:bookmarkEnd w:id="317"/>
      <w:r>
        <w:rPr>
          <w:rFonts w:eastAsia="楷体_GB2312"/>
          <w:b/>
          <w:bCs/>
          <w:sz w:val="32"/>
          <w:szCs w:val="32"/>
          <w:highlight w:val="none"/>
        </w:rPr>
        <w:t>数字转型</w:t>
      </w:r>
      <w:bookmarkEnd w:id="318"/>
      <w:bookmarkEnd w:id="319"/>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加快智能化改造和数字化转型。</w:t>
      </w:r>
      <w:r>
        <w:rPr>
          <w:rFonts w:eastAsia="仿宋_GB2312"/>
          <w:sz w:val="32"/>
          <w:szCs w:val="32"/>
          <w:highlight w:val="none"/>
        </w:rPr>
        <w:t>实施智能化改造和数字化转型工程，优化升级“智改数转”支持政策，支持龙头企业发挥示范效应与引领作用，进一步带动中小企业进行转型升级。引导企业加大智能化改造投资力度，持续打造一批示范智能车间、智能工厂，培育一批智能化改造和数字化转型标杆企业。深化开展数字化赋能行动，大力发展智能制造装备和工业软件，推进工业软件云化部署，提升智能制造自主供给能力。鼓励有实力的智能制造装备、软件企业和智能制造标杆企业向智能制造系统解决方案供应商转型，提供高水平智能制造解决方案和服务。</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加强数字产业支撑。</w:t>
      </w:r>
      <w:r>
        <w:rPr>
          <w:rFonts w:eastAsia="仿宋_GB2312"/>
          <w:sz w:val="32"/>
          <w:szCs w:val="32"/>
          <w:highlight w:val="none"/>
        </w:rPr>
        <w:t>加强新型信息基础设施建设，加快部署5G、IPV6、量子通信等新型网络设施，支持利用5G、IPV6、工业无线等技术和装备改造升级企业内网。加快融入“长三角工业互联网一体化发展示范区”建设，持续开展“5G+工业互联网”试点示范，聚焦重点行业打造一批典型应用场景。推进工业互联网标识解析二级节点建设，加速上线节点运营推广，加快在建节点对接上线，提升标识解析综合服务能力，强化节点产业生态构建。支持企业将业务系统向云端迁移，推进企业内部、上下游、跨领域生产设备与信息系统的互联互通，加快数据资源协同与共享。支持龙头骨干企业自建或与各电信运营商、云平台龙头企业合作建设一批有影响力的行业级、企业级工业互联网平台。培育一批面向特定行业、特定场景的工业APP，推动工业APP向平台汇聚。加快“星火·链网”骨干节点建设，积极发展区块链即服务等新型模式，推动区块链在数字金融、智能制造等多个领域应用。</w:t>
      </w:r>
    </w:p>
    <w:p>
      <w:pPr>
        <w:pStyle w:val="4"/>
        <w:spacing w:line="600" w:lineRule="exact"/>
        <w:ind w:firstLine="643" w:firstLineChars="200"/>
        <w:rPr>
          <w:rFonts w:eastAsia="仿宋_GB2312"/>
          <w:sz w:val="32"/>
          <w:szCs w:val="32"/>
          <w:highlight w:val="none"/>
        </w:rPr>
      </w:pPr>
      <w:r>
        <w:rPr>
          <w:rFonts w:eastAsia="仿宋_GB2312"/>
          <w:b/>
          <w:bCs/>
          <w:sz w:val="32"/>
          <w:szCs w:val="32"/>
          <w:highlight w:val="none"/>
        </w:rPr>
        <w:t>推动制造业与服务业融合发展。</w:t>
      </w:r>
      <w:r>
        <w:rPr>
          <w:rFonts w:eastAsia="仿宋_GB2312"/>
          <w:sz w:val="32"/>
          <w:szCs w:val="32"/>
          <w:highlight w:val="none"/>
        </w:rPr>
        <w:t>大力推广工业设计服务、定制化服务、供应链管理、共享制造、全生命周期管理、总集成总承包、节能环保服务、生产性金融服务等业态模式，培育一批服务型制造示范企业（项目、平台）。鼓励企业从传统工业设计向高端综合设计服务转变，推动集成电路、智能装备、新能源汽车等产业领域设计服务高端化发展。</w:t>
      </w:r>
    </w:p>
    <w:p>
      <w:pPr>
        <w:pStyle w:val="11"/>
        <w:spacing w:before="0" w:beforeAutospacing="0" w:after="0" w:afterAutospacing="0" w:line="600" w:lineRule="exact"/>
        <w:ind w:firstLine="643" w:firstLineChars="200"/>
        <w:jc w:val="both"/>
        <w:outlineLvl w:val="1"/>
        <w:rPr>
          <w:rFonts w:eastAsia="楷体_GB2312"/>
          <w:b/>
          <w:bCs/>
          <w:kern w:val="2"/>
          <w:sz w:val="32"/>
          <w:szCs w:val="32"/>
          <w:highlight w:val="none"/>
        </w:rPr>
      </w:pPr>
      <w:bookmarkStart w:id="320" w:name="_Toc24489"/>
      <w:bookmarkStart w:id="321" w:name="_Toc31828"/>
      <w:bookmarkStart w:id="322" w:name="_Toc81518457"/>
      <w:bookmarkStart w:id="323" w:name="_Toc11891"/>
      <w:bookmarkStart w:id="324" w:name="_Toc15304"/>
      <w:bookmarkStart w:id="325" w:name="_Toc3925"/>
      <w:bookmarkStart w:id="326" w:name="_Toc88424335"/>
      <w:bookmarkStart w:id="327" w:name="_Toc12195"/>
      <w:bookmarkStart w:id="328" w:name="_Toc22426"/>
      <w:bookmarkStart w:id="329" w:name="_Toc3800"/>
      <w:bookmarkStart w:id="330" w:name="_Toc26987"/>
      <w:bookmarkStart w:id="331" w:name="_Toc32237"/>
      <w:bookmarkStart w:id="332" w:name="_Toc19396"/>
      <w:bookmarkStart w:id="333" w:name="_Toc84829667"/>
      <w:r>
        <w:rPr>
          <w:rFonts w:eastAsia="楷体_GB2312"/>
          <w:b/>
          <w:bCs/>
          <w:kern w:val="2"/>
          <w:sz w:val="32"/>
          <w:szCs w:val="32"/>
          <w:highlight w:val="none"/>
        </w:rPr>
        <w:t>（四）强化重大项目支撑，</w:t>
      </w:r>
      <w:bookmarkEnd w:id="320"/>
      <w:r>
        <w:rPr>
          <w:rFonts w:eastAsia="楷体_GB2312"/>
          <w:b/>
          <w:bCs/>
          <w:kern w:val="2"/>
          <w:sz w:val="32"/>
          <w:szCs w:val="32"/>
          <w:highlight w:val="none"/>
        </w:rPr>
        <w:t>扩大有效投资</w:t>
      </w:r>
      <w:bookmarkEnd w:id="321"/>
      <w:bookmarkEnd w:id="322"/>
      <w:bookmarkEnd w:id="323"/>
      <w:r>
        <w:rPr>
          <w:rFonts w:eastAsia="楷体_GB2312"/>
          <w:b/>
          <w:bCs/>
          <w:kern w:val="2"/>
          <w:sz w:val="32"/>
          <w:szCs w:val="32"/>
          <w:highlight w:val="none"/>
        </w:rPr>
        <w:t>规模</w:t>
      </w:r>
      <w:bookmarkEnd w:id="324"/>
      <w:bookmarkEnd w:id="325"/>
      <w:bookmarkEnd w:id="326"/>
      <w:bookmarkEnd w:id="327"/>
      <w:bookmarkEnd w:id="328"/>
      <w:bookmarkEnd w:id="329"/>
      <w:bookmarkEnd w:id="330"/>
      <w:bookmarkEnd w:id="331"/>
      <w:bookmarkEnd w:id="332"/>
      <w:bookmarkEnd w:id="333"/>
    </w:p>
    <w:p>
      <w:pPr>
        <w:pStyle w:val="11"/>
        <w:spacing w:before="0" w:beforeAutospacing="0" w:after="0" w:afterAutospacing="0" w:line="600" w:lineRule="exact"/>
        <w:ind w:firstLine="643" w:firstLineChars="200"/>
        <w:jc w:val="both"/>
        <w:rPr>
          <w:rFonts w:eastAsia="仿宋_GB2312"/>
          <w:color w:val="000000"/>
          <w:sz w:val="32"/>
          <w:szCs w:val="32"/>
          <w:highlight w:val="none"/>
        </w:rPr>
      </w:pPr>
      <w:r>
        <w:rPr>
          <w:rFonts w:eastAsia="仿宋_GB2312"/>
          <w:b/>
          <w:bCs/>
          <w:kern w:val="2"/>
          <w:sz w:val="32"/>
          <w:szCs w:val="32"/>
          <w:highlight w:val="none"/>
        </w:rPr>
        <w:t>围绕产业链精准招商。</w:t>
      </w:r>
      <w:r>
        <w:rPr>
          <w:rFonts w:eastAsia="仿宋_GB2312"/>
          <w:sz w:val="32"/>
          <w:szCs w:val="32"/>
          <w:highlight w:val="none"/>
        </w:rPr>
        <w:t>聚焦全球产业链、创新链、人才链高端环节持续发力，</w:t>
      </w:r>
      <w:r>
        <w:rPr>
          <w:rFonts w:eastAsia="仿宋_GB2312"/>
          <w:kern w:val="2"/>
          <w:sz w:val="32"/>
          <w:szCs w:val="32"/>
          <w:highlight w:val="none"/>
        </w:rPr>
        <w:t>建设新兴产业优质项目库，</w:t>
      </w:r>
      <w:r>
        <w:rPr>
          <w:rFonts w:eastAsia="仿宋_GB2312"/>
          <w:sz w:val="32"/>
          <w:szCs w:val="32"/>
          <w:highlight w:val="none"/>
        </w:rPr>
        <w:t>加快引进一批引领性强、成长性好、带动性足的龙头型、旗舰型项目。</w:t>
      </w:r>
      <w:r>
        <w:rPr>
          <w:rFonts w:eastAsia="仿宋_GB2312"/>
          <w:kern w:val="2"/>
          <w:sz w:val="32"/>
          <w:szCs w:val="32"/>
          <w:highlight w:val="none"/>
        </w:rPr>
        <w:t>围绕新显示、新智造、新医疗等产业链供应链的薄弱环节、关键缺失环节、断链环节，引进更多</w:t>
      </w:r>
      <w:r>
        <w:rPr>
          <w:rFonts w:eastAsia="仿宋_GB2312"/>
          <w:sz w:val="32"/>
          <w:szCs w:val="32"/>
          <w:highlight w:val="none"/>
        </w:rPr>
        <w:t>强链补链延链</w:t>
      </w:r>
      <w:r>
        <w:rPr>
          <w:rFonts w:eastAsia="仿宋_GB2312"/>
          <w:kern w:val="2"/>
          <w:sz w:val="32"/>
          <w:szCs w:val="32"/>
          <w:highlight w:val="none"/>
        </w:rPr>
        <w:t>项目。围绕重大项目，着力吸引产业链关键配套项目落地，打造良好</w:t>
      </w:r>
      <w:r>
        <w:rPr>
          <w:rFonts w:eastAsia="仿宋_GB2312"/>
          <w:color w:val="000000"/>
          <w:sz w:val="32"/>
          <w:szCs w:val="32"/>
          <w:highlight w:val="none"/>
        </w:rPr>
        <w:t>产业生态。</w:t>
      </w:r>
      <w:r>
        <w:rPr>
          <w:rFonts w:eastAsia="仿宋_GB2312"/>
          <w:kern w:val="2"/>
          <w:sz w:val="32"/>
          <w:szCs w:val="32"/>
          <w:highlight w:val="none"/>
        </w:rPr>
        <w:t>超前布局高精尖未来产业，支持类脑智能、量子科学、基因技术等产业化应用项目落地。</w:t>
      </w:r>
      <w:r>
        <w:rPr>
          <w:rFonts w:eastAsia="仿宋_GB2312"/>
          <w:color w:val="000000"/>
          <w:sz w:val="32"/>
          <w:szCs w:val="32"/>
          <w:highlight w:val="none"/>
        </w:rPr>
        <w:t>推行绿色招商转型升级环境准入指导目录，坚决遏制“两高”项目、低水平重复建设项目。</w:t>
      </w:r>
    </w:p>
    <w:p>
      <w:pPr>
        <w:widowControl/>
        <w:spacing w:line="600" w:lineRule="exact"/>
        <w:ind w:firstLine="643" w:firstLineChars="200"/>
        <w:rPr>
          <w:sz w:val="32"/>
          <w:szCs w:val="32"/>
          <w:highlight w:val="none"/>
        </w:rPr>
      </w:pPr>
      <w:r>
        <w:rPr>
          <w:rFonts w:eastAsia="仿宋_GB2312"/>
          <w:b/>
          <w:bCs/>
          <w:sz w:val="32"/>
          <w:szCs w:val="32"/>
          <w:highlight w:val="none"/>
        </w:rPr>
        <w:t>加大技术改造投入力度。</w:t>
      </w:r>
      <w:r>
        <w:rPr>
          <w:rFonts w:eastAsia="仿宋_GB2312"/>
          <w:sz w:val="32"/>
          <w:szCs w:val="32"/>
          <w:highlight w:val="none"/>
        </w:rPr>
        <w:t>开展新一轮“千企技改升级”行动，每年实施一批重点技术改造项目，引导企业加大投资力度，以高端化、智能化、绿色化、服务化为重点方向进行更大力度、更宽领域、更高层次的技术改造活动。</w:t>
      </w:r>
      <w:r>
        <w:rPr>
          <w:rFonts w:eastAsia="仿宋_GB2312"/>
          <w:color w:val="000000"/>
          <w:kern w:val="0"/>
          <w:sz w:val="32"/>
          <w:szCs w:val="32"/>
          <w:highlight w:val="none"/>
        </w:rPr>
        <w:t>大力推动企业向数字化、智能化转变，充分发挥新一代信息技术赋能作用，坚持把数字经济作为转型发展的关键增量，加快推进数字产业化、产业数字化发展。</w:t>
      </w:r>
    </w:p>
    <w:p>
      <w:pPr>
        <w:pStyle w:val="11"/>
        <w:spacing w:before="0" w:beforeAutospacing="0" w:after="0" w:afterAutospacing="0" w:line="600" w:lineRule="exact"/>
        <w:ind w:firstLine="643" w:firstLineChars="200"/>
        <w:jc w:val="both"/>
        <w:rPr>
          <w:rFonts w:eastAsia="仿宋_GB2312"/>
          <w:kern w:val="2"/>
          <w:sz w:val="32"/>
          <w:szCs w:val="32"/>
          <w:highlight w:val="none"/>
        </w:rPr>
      </w:pPr>
      <w:r>
        <w:rPr>
          <w:rFonts w:eastAsia="仿宋_GB2312"/>
          <w:b/>
          <w:bCs/>
          <w:kern w:val="2"/>
          <w:sz w:val="32"/>
          <w:szCs w:val="32"/>
          <w:highlight w:val="none"/>
        </w:rPr>
        <w:t>优化重点项目服务机制。</w:t>
      </w:r>
      <w:r>
        <w:rPr>
          <w:rFonts w:eastAsia="仿宋_GB2312"/>
          <w:kern w:val="2"/>
          <w:sz w:val="32"/>
          <w:szCs w:val="32"/>
          <w:highlight w:val="none"/>
        </w:rPr>
        <w:t>深入实施市领导挂钩联系推动重点项目制度，强化统筹协调，优化项目审批流程，保障要素供给向重大项目、优质项目倾斜。构建项目全生命覆盖、全要素保障的项目管理机制，对项目进行动态化、全过程管理，推动项目早签约、早落地、早开工、早投产。</w:t>
      </w:r>
    </w:p>
    <w:p>
      <w:pPr>
        <w:pStyle w:val="4"/>
        <w:spacing w:line="600" w:lineRule="exact"/>
        <w:ind w:firstLine="643" w:firstLineChars="200"/>
        <w:outlineLvl w:val="1"/>
        <w:rPr>
          <w:rFonts w:eastAsia="楷体_GB2312"/>
          <w:b/>
          <w:bCs/>
          <w:sz w:val="32"/>
          <w:szCs w:val="32"/>
          <w:highlight w:val="none"/>
        </w:rPr>
      </w:pPr>
      <w:bookmarkStart w:id="334" w:name="_Toc17090"/>
      <w:bookmarkStart w:id="335" w:name="_Toc29014"/>
      <w:bookmarkStart w:id="336" w:name="_Toc88424336"/>
      <w:bookmarkStart w:id="337" w:name="_Toc9036"/>
      <w:bookmarkStart w:id="338" w:name="_Toc19177"/>
      <w:r>
        <w:rPr>
          <w:rFonts w:eastAsia="楷体_GB2312"/>
          <w:b/>
          <w:bCs/>
          <w:sz w:val="32"/>
          <w:szCs w:val="32"/>
          <w:highlight w:val="none"/>
        </w:rPr>
        <w:t>（五）培育优质企业梯队，夯实昆山制造实力</w:t>
      </w:r>
      <w:bookmarkEnd w:id="334"/>
      <w:bookmarkEnd w:id="335"/>
      <w:bookmarkEnd w:id="336"/>
      <w:bookmarkEnd w:id="337"/>
      <w:bookmarkEnd w:id="338"/>
    </w:p>
    <w:p>
      <w:pPr>
        <w:widowControl/>
        <w:spacing w:line="600" w:lineRule="exact"/>
        <w:ind w:firstLine="643" w:firstLineChars="200"/>
        <w:rPr>
          <w:rFonts w:eastAsia="仿宋_GB2312"/>
          <w:sz w:val="32"/>
          <w:szCs w:val="32"/>
          <w:highlight w:val="none"/>
        </w:rPr>
      </w:pPr>
      <w:r>
        <w:rPr>
          <w:rFonts w:eastAsia="仿宋_GB2312"/>
          <w:b/>
          <w:bCs/>
          <w:sz w:val="32"/>
          <w:szCs w:val="32"/>
          <w:highlight w:val="none"/>
        </w:rPr>
        <w:t>培育国内一流的大企业集团。</w:t>
      </w:r>
      <w:r>
        <w:rPr>
          <w:rFonts w:eastAsia="仿宋_GB2312"/>
          <w:sz w:val="32"/>
          <w:szCs w:val="32"/>
          <w:highlight w:val="none"/>
        </w:rPr>
        <w:t>支持龙头骨干企业瞄准产业链关键环节和价值链高端环节，通过兼并重组、研发创新等方式，做大做强。围绕光电显示、集成电路、智能装备、智能机器人、航空航天、小核酸和创新药、高端医疗器械等领域，打造一批根植昆山、技术领先、具有生态主导力的“链主”企业。在新显示、新智造、新医疗等领域，培育壮大和精准招引一批总部型企业，打造具有昆山特色的总部经济高地。支持大企业整合产业链资源，联合中小企业，深化上下游合作，构建创新协同、供应链互通的新型发展生态。</w:t>
      </w:r>
    </w:p>
    <w:p>
      <w:pPr>
        <w:widowControl/>
        <w:spacing w:line="600" w:lineRule="exact"/>
        <w:ind w:firstLine="643" w:firstLineChars="200"/>
        <w:rPr>
          <w:highlight w:val="none"/>
        </w:rPr>
      </w:pPr>
      <w:r>
        <w:rPr>
          <w:rFonts w:eastAsia="仿宋_GB2312"/>
          <w:b/>
          <w:bCs/>
          <w:sz w:val="32"/>
          <w:szCs w:val="32"/>
          <w:highlight w:val="none"/>
        </w:rPr>
        <w:t>培育具有核心竞争力的中小企业群。</w:t>
      </w:r>
      <w:r>
        <w:rPr>
          <w:rFonts w:eastAsia="仿宋_GB2312"/>
          <w:sz w:val="32"/>
          <w:szCs w:val="32"/>
          <w:highlight w:val="none"/>
        </w:rPr>
        <w:t>强化政策支持，打造一批专业基础好、市场占有率高、竞争力强的专精特新“小巨人”、单项冠军企业。培育壮大从创新型初创企业、科技型中小企业、高新技术企业到独角兽企业的创新型企业梯队，推动高新企业从数量优势向质量优势转变。实施“独角兽”企业培育计划，争取更多优质创新型企业入选苏州市独角兽培育企业名单。深入实施民营企业总部培育工程，支持民营经济做大做强。</w:t>
      </w:r>
    </w:p>
    <w:p>
      <w:pPr>
        <w:widowControl/>
        <w:spacing w:line="600" w:lineRule="exact"/>
        <w:ind w:firstLine="643" w:firstLineChars="200"/>
        <w:rPr>
          <w:rFonts w:eastAsia="仿宋_GB2312"/>
          <w:sz w:val="32"/>
          <w:szCs w:val="32"/>
          <w:highlight w:val="none"/>
        </w:rPr>
      </w:pPr>
      <w:r>
        <w:rPr>
          <w:rFonts w:eastAsia="仿宋_GB2312"/>
          <w:b/>
          <w:bCs/>
          <w:sz w:val="32"/>
          <w:szCs w:val="32"/>
          <w:highlight w:val="none"/>
        </w:rPr>
        <w:t>做强昆山制造质量品牌。</w:t>
      </w:r>
      <w:r>
        <w:rPr>
          <w:rFonts w:eastAsia="仿宋_GB2312"/>
          <w:sz w:val="32"/>
          <w:szCs w:val="32"/>
          <w:highlight w:val="none"/>
        </w:rPr>
        <w:t>对标国际先进质量标准，引导企业开展全产业链质量管理，健全全生命周期质量追溯机制。积极落实“苏州制造”品牌行动，培育一批“苏州制造”品牌认证高端产品、登峰企业。聚焦光电显示、智能终端、集成电路、信息通信等领域，深化“强芯亮屏”工程，打造昆山显示品牌。聚焦先进计算、工业互联网、区块链、工业软件、人工智能，打造昆山数字品牌。聚焦新智造领域，支持企业申请省市级首台（套）重大装备认定，擦亮昆山智造品牌。围绕智能终端、医疗用品、高端食品、母婴用品等消费领域，持续实施“三品”专项行动，推出一批国货精品。</w:t>
      </w:r>
    </w:p>
    <w:p>
      <w:pPr>
        <w:pStyle w:val="4"/>
        <w:adjustRightInd w:val="0"/>
        <w:snapToGrid w:val="0"/>
        <w:spacing w:line="600" w:lineRule="exact"/>
        <w:ind w:firstLine="643" w:firstLineChars="200"/>
        <w:outlineLvl w:val="1"/>
        <w:rPr>
          <w:rFonts w:eastAsia="楷体_GB2312"/>
          <w:b/>
          <w:bCs/>
          <w:sz w:val="32"/>
          <w:szCs w:val="32"/>
          <w:highlight w:val="none"/>
        </w:rPr>
      </w:pPr>
      <w:bookmarkStart w:id="339" w:name="_Toc81518459"/>
      <w:bookmarkStart w:id="340" w:name="_Toc22467"/>
      <w:bookmarkStart w:id="341" w:name="_Toc18523"/>
      <w:bookmarkStart w:id="342" w:name="_Toc18911"/>
      <w:bookmarkStart w:id="343" w:name="_Toc17583"/>
      <w:bookmarkStart w:id="344" w:name="_Toc6164"/>
      <w:bookmarkStart w:id="345" w:name="_Toc29270"/>
      <w:bookmarkStart w:id="346" w:name="_Toc31289"/>
      <w:bookmarkStart w:id="347" w:name="_Toc84829669"/>
      <w:bookmarkStart w:id="348" w:name="_Toc18561"/>
      <w:bookmarkStart w:id="349" w:name="_Toc24910"/>
      <w:bookmarkStart w:id="350" w:name="_Toc4005"/>
      <w:bookmarkStart w:id="351" w:name="_Toc17843"/>
      <w:bookmarkStart w:id="352" w:name="_Toc88424337"/>
      <w:r>
        <w:rPr>
          <w:rFonts w:eastAsia="楷体_GB2312"/>
          <w:b/>
          <w:bCs/>
          <w:sz w:val="32"/>
          <w:szCs w:val="32"/>
          <w:highlight w:val="none"/>
        </w:rPr>
        <w:t>（六）坚决落实能耗双控，</w:t>
      </w:r>
      <w:bookmarkEnd w:id="339"/>
      <w:bookmarkEnd w:id="340"/>
      <w:bookmarkEnd w:id="341"/>
      <w:bookmarkEnd w:id="342"/>
      <w:r>
        <w:rPr>
          <w:rFonts w:eastAsia="楷体_GB2312"/>
          <w:b/>
          <w:bCs/>
          <w:sz w:val="32"/>
          <w:szCs w:val="32"/>
          <w:highlight w:val="none"/>
        </w:rPr>
        <w:t>筑牢绿色安全底线</w:t>
      </w:r>
      <w:bookmarkEnd w:id="343"/>
      <w:bookmarkEnd w:id="344"/>
      <w:bookmarkEnd w:id="345"/>
      <w:bookmarkEnd w:id="346"/>
      <w:bookmarkEnd w:id="347"/>
      <w:bookmarkEnd w:id="348"/>
      <w:bookmarkEnd w:id="349"/>
      <w:bookmarkEnd w:id="350"/>
      <w:bookmarkEnd w:id="351"/>
      <w:bookmarkEnd w:id="352"/>
    </w:p>
    <w:p>
      <w:pPr>
        <w:spacing w:line="600" w:lineRule="exact"/>
        <w:ind w:firstLine="643" w:firstLineChars="200"/>
        <w:rPr>
          <w:rFonts w:eastAsia="仿宋_GB2312"/>
          <w:sz w:val="32"/>
          <w:szCs w:val="32"/>
          <w:highlight w:val="none"/>
        </w:rPr>
      </w:pPr>
      <w:r>
        <w:rPr>
          <w:rFonts w:eastAsia="仿宋_GB2312"/>
          <w:b/>
          <w:bCs/>
          <w:sz w:val="32"/>
          <w:szCs w:val="32"/>
          <w:highlight w:val="none"/>
        </w:rPr>
        <w:t>加强资源集约利用。</w:t>
      </w:r>
      <w:r>
        <w:rPr>
          <w:rFonts w:eastAsia="仿宋_GB2312"/>
          <w:color w:val="000000"/>
          <w:sz w:val="32"/>
          <w:szCs w:val="32"/>
          <w:highlight w:val="none"/>
        </w:rPr>
        <w:t>深化工业企业资源集约利用综合评价改革，</w:t>
      </w:r>
      <w:r>
        <w:rPr>
          <w:rFonts w:eastAsia="仿宋_GB2312"/>
          <w:sz w:val="32"/>
          <w:szCs w:val="32"/>
          <w:highlight w:val="none"/>
        </w:rPr>
        <w:t>探索推进园区、重点行业“亩均效益”综合评价。进一步优化资源要素配置，完成对低端低效工业企业的改造提升或处置淘汰。加大差别化政策激励倒逼力度，扩大资源要素差别化价格政策实施范围，全面落实企业评价结果与涉企专项资金挂钩机制。</w:t>
      </w:r>
    </w:p>
    <w:p>
      <w:pPr>
        <w:spacing w:line="600" w:lineRule="exact"/>
        <w:ind w:firstLine="643" w:firstLineChars="200"/>
        <w:rPr>
          <w:rFonts w:eastAsia="仿宋_GB2312"/>
          <w:sz w:val="32"/>
          <w:szCs w:val="32"/>
          <w:highlight w:val="none"/>
        </w:rPr>
      </w:pPr>
      <w:r>
        <w:rPr>
          <w:rFonts w:eastAsia="仿宋_GB2312"/>
          <w:b/>
          <w:bCs/>
          <w:sz w:val="32"/>
          <w:szCs w:val="32"/>
          <w:highlight w:val="none"/>
        </w:rPr>
        <w:t>推进绿色低碳发展。</w:t>
      </w:r>
      <w:r>
        <w:rPr>
          <w:rFonts w:eastAsia="仿宋_GB2312"/>
          <w:sz w:val="32"/>
          <w:szCs w:val="32"/>
          <w:highlight w:val="none"/>
        </w:rPr>
        <w:t>实施绿色制造示范工程，以绿色工厂、绿色设计产品、绿色园区、绿色供应链为主要内容，打造绿色制造体系。推进重点行业生产过程清洁化，加强光电显示、智能终端、集成电路、新能源汽车等领域有害物质源头管控，降低主要污染物排放强度。优化制造业能源结构，加快低碳技术研发应用，加强储能技术研发和可再生能源推广应用，大力发展氢能等绿色能源，提高绿色能源使用比例。加强重点用能单位节能管理和能耗监测，持续开展工业节能诊断服务工作，鼓励企业实施节能节水技术改造，培育一批“能效领跑者”和“水效领跑者”企业。推进碳排放权交易，探索建设“近零碳”园区和工厂。</w:t>
      </w:r>
    </w:p>
    <w:p>
      <w:pPr>
        <w:spacing w:line="600" w:lineRule="exact"/>
        <w:ind w:firstLine="643" w:firstLineChars="200"/>
        <w:rPr>
          <w:rFonts w:eastAsia="仿宋_GB2312"/>
          <w:bCs/>
          <w:sz w:val="32"/>
          <w:szCs w:val="32"/>
          <w:highlight w:val="none"/>
        </w:rPr>
      </w:pPr>
      <w:r>
        <w:rPr>
          <w:rFonts w:eastAsia="仿宋_GB2312"/>
          <w:b/>
          <w:bCs/>
          <w:sz w:val="32"/>
          <w:szCs w:val="32"/>
          <w:highlight w:val="none"/>
        </w:rPr>
        <w:t>提升安全治理水平</w:t>
      </w:r>
      <w:r>
        <w:rPr>
          <w:rFonts w:eastAsia="仿宋_GB2312"/>
          <w:bCs/>
          <w:sz w:val="32"/>
          <w:szCs w:val="32"/>
          <w:highlight w:val="none"/>
        </w:rPr>
        <w:t>。鼓励工业企业加大安全技术改造力度，采用先进装备和工艺，应用大数据、物联网、人工智能等技术，降低安全生产风险。深入推进化工产业安全环保整治提升，开展从产品到技术、工艺、设备、从业人员、内部管理和外部监管的全方位、全过程整治，全面提升化工行业产业结构和本质安全水平。对发生重大突发环境事件、生产安全重大事故、重大火灾的工业企业，在资源集约利用综合评价中直接调整为D类。推动安全（应急）产业发展，加强安全（应急）关键技术研发，提升安全（应急）产品供给能力，加快先进安全（应急）装备推广应用。</w:t>
      </w:r>
    </w:p>
    <w:p>
      <w:pPr>
        <w:pStyle w:val="4"/>
        <w:spacing w:line="600" w:lineRule="exact"/>
        <w:ind w:left="643"/>
        <w:outlineLvl w:val="1"/>
        <w:rPr>
          <w:rFonts w:eastAsia="楷体_GB2312"/>
          <w:b/>
          <w:bCs/>
          <w:sz w:val="32"/>
          <w:szCs w:val="32"/>
          <w:highlight w:val="none"/>
        </w:rPr>
      </w:pPr>
      <w:bookmarkStart w:id="353" w:name="_Toc27114"/>
      <w:bookmarkStart w:id="354" w:name="_Toc10326"/>
      <w:bookmarkStart w:id="355" w:name="_Toc1173"/>
      <w:bookmarkStart w:id="356" w:name="_Toc29837"/>
      <w:bookmarkStart w:id="357" w:name="_Toc9586"/>
      <w:bookmarkStart w:id="358" w:name="_Toc78802179"/>
      <w:bookmarkStart w:id="359" w:name="_Toc18039"/>
      <w:bookmarkStart w:id="360" w:name="_Toc5450"/>
      <w:bookmarkStart w:id="361" w:name="_Toc7528"/>
      <w:bookmarkStart w:id="362" w:name="_Toc81518460"/>
      <w:bookmarkStart w:id="363" w:name="_Toc23945"/>
      <w:bookmarkStart w:id="364" w:name="_Toc84829670"/>
      <w:bookmarkStart w:id="365" w:name="_Toc18590"/>
      <w:bookmarkStart w:id="366" w:name="_Toc27871"/>
      <w:bookmarkStart w:id="367" w:name="_Toc9935"/>
      <w:bookmarkStart w:id="368" w:name="_Toc30470"/>
      <w:bookmarkStart w:id="369" w:name="_Toc31929"/>
      <w:bookmarkStart w:id="370" w:name="_Toc88424338"/>
      <w:bookmarkStart w:id="371" w:name="_Toc10752"/>
      <w:bookmarkStart w:id="372" w:name="_Toc27793"/>
      <w:bookmarkStart w:id="373" w:name="_Toc4657"/>
      <w:r>
        <w:rPr>
          <w:rFonts w:eastAsia="楷体_GB2312"/>
          <w:b/>
          <w:bCs/>
          <w:sz w:val="32"/>
          <w:szCs w:val="32"/>
          <w:highlight w:val="none"/>
        </w:rPr>
        <w:t>（七）融入双循环新格局，</w:t>
      </w:r>
      <w:bookmarkEnd w:id="353"/>
      <w:bookmarkEnd w:id="354"/>
      <w:bookmarkEnd w:id="355"/>
      <w:bookmarkEnd w:id="356"/>
      <w:bookmarkEnd w:id="357"/>
      <w:bookmarkEnd w:id="358"/>
      <w:bookmarkEnd w:id="359"/>
      <w:bookmarkEnd w:id="360"/>
      <w:r>
        <w:rPr>
          <w:rFonts w:eastAsia="楷体_GB2312"/>
          <w:b/>
          <w:bCs/>
          <w:sz w:val="32"/>
          <w:szCs w:val="32"/>
          <w:highlight w:val="none"/>
        </w:rPr>
        <w:t>提高开放合作</w:t>
      </w:r>
      <w:bookmarkEnd w:id="361"/>
      <w:bookmarkEnd w:id="362"/>
      <w:bookmarkEnd w:id="363"/>
      <w:bookmarkEnd w:id="364"/>
      <w:bookmarkEnd w:id="365"/>
      <w:bookmarkEnd w:id="366"/>
      <w:bookmarkEnd w:id="367"/>
      <w:bookmarkEnd w:id="368"/>
      <w:r>
        <w:rPr>
          <w:rFonts w:eastAsia="楷体_GB2312"/>
          <w:b/>
          <w:bCs/>
          <w:sz w:val="32"/>
          <w:szCs w:val="32"/>
          <w:highlight w:val="none"/>
        </w:rPr>
        <w:t>水平</w:t>
      </w:r>
      <w:bookmarkEnd w:id="369"/>
      <w:bookmarkEnd w:id="370"/>
      <w:bookmarkEnd w:id="371"/>
      <w:bookmarkEnd w:id="372"/>
      <w:bookmarkEnd w:id="373"/>
    </w:p>
    <w:p>
      <w:pPr>
        <w:spacing w:line="600" w:lineRule="exact"/>
        <w:ind w:firstLine="643" w:firstLineChars="200"/>
        <w:rPr>
          <w:rFonts w:eastAsia="仿宋_GB2312"/>
          <w:sz w:val="32"/>
          <w:szCs w:val="32"/>
          <w:highlight w:val="none"/>
        </w:rPr>
      </w:pPr>
      <w:r>
        <w:rPr>
          <w:rFonts w:eastAsia="仿宋_GB2312"/>
          <w:b/>
          <w:bCs/>
          <w:sz w:val="32"/>
          <w:szCs w:val="32"/>
          <w:highlight w:val="none"/>
        </w:rPr>
        <w:t>深度融入区域一体化发展。</w:t>
      </w:r>
      <w:r>
        <w:rPr>
          <w:rFonts w:eastAsia="仿宋_GB2312"/>
          <w:sz w:val="32"/>
          <w:szCs w:val="32"/>
          <w:highlight w:val="none"/>
        </w:rPr>
        <w:t>积极参与“环太湖科创圈”“吴淞江科创带”建设，向东接轨上海，向西融入苏州主城，向北联动太仓，向南协同推进长三角生态绿色一体化发展示范区建设。强化与上海、南京、杭州、合肥等城市产业创新合作联动发展，完善</w:t>
      </w:r>
      <w:bookmarkStart w:id="374" w:name="OLE_LINK4"/>
      <w:r>
        <w:rPr>
          <w:rFonts w:eastAsia="仿宋_GB2312"/>
          <w:sz w:val="32"/>
          <w:szCs w:val="32"/>
          <w:highlight w:val="none"/>
        </w:rPr>
        <w:t>虹桥-昆山-相城</w:t>
      </w:r>
      <w:bookmarkEnd w:id="374"/>
      <w:r>
        <w:rPr>
          <w:rFonts w:eastAsia="仿宋_GB2312"/>
          <w:sz w:val="32"/>
          <w:szCs w:val="32"/>
          <w:highlight w:val="none"/>
        </w:rPr>
        <w:t>、嘉定-昆山-太仓等地区合作新机制，全面融入长三角一体化。加快融入G60科创走廊，支持G60科创走廊科技成果转移转化示范基地（苏州）建设。当好融合沪苏发展行动先锋，积极参与虹桥国际开放枢纽北向拓展带建设，深度融入上海产业生态圈，加速上海研发成果昆山产业化，配套上海产业链分工合作，探索设置“反向飞地”，成为上海高端资源要素溢出的重要承载地。积极融入苏州市域产业统筹协调发展，促进昆山与苏州各板块竞合发展。探索与苏中苏北地区共建产业链协同创新示范基地，发展“飞地经济”，加快</w:t>
      </w:r>
      <w:bookmarkStart w:id="375" w:name="OLE_LINK3"/>
      <w:r>
        <w:rPr>
          <w:rFonts w:eastAsia="仿宋_GB2312"/>
          <w:sz w:val="32"/>
          <w:szCs w:val="32"/>
          <w:highlight w:val="none"/>
        </w:rPr>
        <w:t>淮昆台资合作产业园</w:t>
      </w:r>
      <w:bookmarkEnd w:id="375"/>
      <w:r>
        <w:rPr>
          <w:rFonts w:eastAsia="仿宋_GB2312"/>
          <w:sz w:val="32"/>
          <w:szCs w:val="32"/>
          <w:highlight w:val="none"/>
        </w:rPr>
        <w:t>建设。</w:t>
      </w:r>
    </w:p>
    <w:p>
      <w:pPr>
        <w:spacing w:line="600" w:lineRule="exact"/>
        <w:ind w:firstLine="643" w:firstLineChars="200"/>
        <w:rPr>
          <w:rFonts w:eastAsia="仿宋_GB2312"/>
          <w:color w:val="000000"/>
          <w:sz w:val="32"/>
          <w:szCs w:val="32"/>
          <w:highlight w:val="none"/>
        </w:rPr>
      </w:pPr>
      <w:r>
        <w:rPr>
          <w:rFonts w:eastAsia="仿宋_GB2312"/>
          <w:b/>
          <w:bCs/>
          <w:color w:val="000000"/>
          <w:kern w:val="0"/>
          <w:sz w:val="32"/>
          <w:szCs w:val="32"/>
          <w:highlight w:val="none"/>
        </w:rPr>
        <w:t>深入对台产业合作。</w:t>
      </w:r>
      <w:r>
        <w:rPr>
          <w:rFonts w:eastAsia="仿宋_GB2312"/>
          <w:sz w:val="32"/>
          <w:szCs w:val="32"/>
          <w:highlight w:val="none"/>
        </w:rPr>
        <w:t>彰显对台合作“第一城”优势，</w:t>
      </w:r>
      <w:r>
        <w:rPr>
          <w:rFonts w:eastAsia="仿宋_GB2312"/>
          <w:color w:val="000000"/>
          <w:sz w:val="32"/>
          <w:szCs w:val="32"/>
          <w:highlight w:val="none"/>
        </w:rPr>
        <w:t>推进昆山深化两岸产业合作试验区高质量发展，发挥好地方层面加强两岸交流合作的示范作用，支持在两岸贸易便利、科技交流、金融合作等方面先行先试。瞄准集成电路、生物医药等</w:t>
      </w:r>
      <w:r>
        <w:rPr>
          <w:rFonts w:eastAsia="仿宋_GB2312"/>
          <w:sz w:val="32"/>
          <w:szCs w:val="32"/>
          <w:highlight w:val="none"/>
        </w:rPr>
        <w:t>台资</w:t>
      </w:r>
      <w:r>
        <w:rPr>
          <w:rFonts w:eastAsia="仿宋_GB2312"/>
          <w:color w:val="000000"/>
          <w:sz w:val="32"/>
          <w:szCs w:val="32"/>
          <w:highlight w:val="none"/>
        </w:rPr>
        <w:t>优势领域，加大项目招引力度，全面放大台资产业集聚优势。鼓励台资企业参与本地产业链、供应链配套，提高昆台产业链融合度</w:t>
      </w:r>
      <w:r>
        <w:rPr>
          <w:rFonts w:eastAsia="仿宋_GB2312"/>
          <w:sz w:val="32"/>
          <w:szCs w:val="32"/>
          <w:highlight w:val="none"/>
        </w:rPr>
        <w:t>。</w:t>
      </w:r>
      <w:r>
        <w:rPr>
          <w:rFonts w:eastAsia="仿宋_GB2312"/>
          <w:color w:val="000000"/>
          <w:sz w:val="32"/>
          <w:szCs w:val="32"/>
          <w:highlight w:val="none"/>
        </w:rPr>
        <w:t>深入推进昆山金融改革试验区建设，汇聚两岸金融资源，以丰富普惠的金融产品和高效优质的金融服务，鼓励优质企业利用资本市场做强做大。高效运作台商发展基金等，鼓励台资企业向高端化、智能化方向转型升级。高质量举办两岸（昆山）产业合作论坛等昆台产业交流活动。</w:t>
      </w:r>
    </w:p>
    <w:p>
      <w:pPr>
        <w:spacing w:line="600" w:lineRule="exact"/>
        <w:ind w:firstLine="643" w:firstLineChars="200"/>
        <w:rPr>
          <w:rFonts w:eastAsia="仿宋_GB2312"/>
          <w:sz w:val="32"/>
          <w:szCs w:val="32"/>
          <w:highlight w:val="none"/>
        </w:rPr>
      </w:pPr>
      <w:r>
        <w:rPr>
          <w:rFonts w:eastAsia="仿宋_GB2312"/>
          <w:b/>
          <w:bCs/>
          <w:color w:val="000000"/>
          <w:kern w:val="0"/>
          <w:sz w:val="32"/>
          <w:szCs w:val="32"/>
          <w:highlight w:val="none"/>
        </w:rPr>
        <w:t>高效引进全球优质资源。</w:t>
      </w:r>
      <w:r>
        <w:rPr>
          <w:rFonts w:eastAsia="仿宋_GB2312"/>
          <w:sz w:val="32"/>
          <w:szCs w:val="32"/>
          <w:highlight w:val="none"/>
        </w:rPr>
        <w:t>聚焦</w:t>
      </w:r>
      <w:r>
        <w:rPr>
          <w:rFonts w:eastAsia="仿宋_GB2312"/>
          <w:color w:val="000000"/>
          <w:sz w:val="32"/>
          <w:szCs w:val="32"/>
          <w:highlight w:val="none"/>
        </w:rPr>
        <w:t>“2+6+X”现代产业体系</w:t>
      </w:r>
      <w:r>
        <w:rPr>
          <w:rFonts w:eastAsia="仿宋_GB2312"/>
          <w:sz w:val="32"/>
          <w:szCs w:val="32"/>
          <w:highlight w:val="none"/>
        </w:rPr>
        <w:t>，全面拓展欧美日韩等国家地区招商合作，精准引进一批投资规模大、科技含量高、带动性强的重大产业项目。推动外资投资向合资经营、投资并购、股权投资、风险投资等多元化转变，鼓励外商以利润转投资等增资形式扩大产能。支持更多跨国公司在昆设立地区总部及功能性机构。鼓励海外知名大学及科研机构在昆设立研发创新中心，支持跨国公司与大院大所在昆合作共建技术创新平台，推动生产与研发良性互动。做强昆山高新区、昆山开发区、昆山德国工业园等对外合作载体，推动区镇外资载体平台高端化发展。</w:t>
      </w:r>
    </w:p>
    <w:p>
      <w:pPr>
        <w:spacing w:line="600" w:lineRule="exact"/>
        <w:ind w:firstLine="643" w:firstLineChars="200"/>
        <w:rPr>
          <w:rFonts w:eastAsia="仿宋_GB2312"/>
          <w:color w:val="FF0000"/>
          <w:sz w:val="32"/>
          <w:szCs w:val="32"/>
          <w:highlight w:val="none"/>
        </w:rPr>
      </w:pPr>
      <w:r>
        <w:rPr>
          <w:rFonts w:eastAsia="仿宋_GB2312"/>
          <w:b/>
          <w:bCs/>
          <w:color w:val="000000"/>
          <w:kern w:val="0"/>
          <w:sz w:val="32"/>
          <w:szCs w:val="32"/>
          <w:highlight w:val="none"/>
        </w:rPr>
        <w:t>提升对外开放合作水平。</w:t>
      </w:r>
      <w:r>
        <w:rPr>
          <w:rFonts w:eastAsia="仿宋_GB2312"/>
          <w:sz w:val="32"/>
          <w:szCs w:val="32"/>
          <w:highlight w:val="none"/>
        </w:rPr>
        <w:t>积极参与“一带一路”建设，高水平建设昆山宏鑫（埃塞）产业园等境外产业基地和经贸合作园区。支持装备制造龙头企业参与“一带一路”沿线国家相关的重大产业项目合作，推动高端装备等优势产能、先进技术和管理经验输出。深度参与全球产业链分工，支持有实力的企业全球布局创新链、产业链，围绕装备、材料、关键核心技术等领域开展国际并购，向研发设计、品牌服务等产业链高端环节延伸。</w:t>
      </w:r>
    </w:p>
    <w:p>
      <w:pPr>
        <w:pStyle w:val="4"/>
        <w:spacing w:line="600" w:lineRule="exact"/>
        <w:ind w:firstLine="640" w:firstLineChars="200"/>
        <w:outlineLvl w:val="0"/>
        <w:rPr>
          <w:rFonts w:eastAsia="黑体"/>
          <w:sz w:val="32"/>
          <w:szCs w:val="32"/>
          <w:highlight w:val="none"/>
        </w:rPr>
      </w:pPr>
      <w:bookmarkStart w:id="376" w:name="_Toc32013"/>
      <w:bookmarkStart w:id="377" w:name="_Toc78802180"/>
      <w:bookmarkStart w:id="378" w:name="_Toc8071"/>
      <w:bookmarkStart w:id="379" w:name="_Toc81518461"/>
      <w:bookmarkStart w:id="380" w:name="_Toc3242"/>
      <w:bookmarkStart w:id="381" w:name="_Toc29413"/>
      <w:bookmarkStart w:id="382" w:name="_Toc9511"/>
      <w:bookmarkStart w:id="383" w:name="_Toc21557"/>
      <w:bookmarkStart w:id="384" w:name="_Toc56776860"/>
      <w:bookmarkStart w:id="385" w:name="_Toc4380"/>
      <w:bookmarkStart w:id="386" w:name="_Toc21482"/>
      <w:bookmarkStart w:id="387" w:name="_Toc84829671"/>
      <w:bookmarkStart w:id="388" w:name="_Toc20130"/>
      <w:bookmarkStart w:id="389" w:name="_Toc17979"/>
      <w:bookmarkStart w:id="390" w:name="_Toc17392"/>
      <w:bookmarkStart w:id="391" w:name="_Toc30272"/>
      <w:bookmarkStart w:id="392" w:name="_Toc16168"/>
      <w:bookmarkStart w:id="393" w:name="_Toc17723"/>
      <w:bookmarkStart w:id="394" w:name="_Toc14763"/>
      <w:bookmarkStart w:id="395" w:name="_Toc5154"/>
      <w:bookmarkStart w:id="396" w:name="_Toc12515"/>
      <w:bookmarkStart w:id="397" w:name="_Toc11842"/>
      <w:bookmarkStart w:id="398" w:name="_Toc19194"/>
      <w:bookmarkStart w:id="399" w:name="_Toc6239"/>
      <w:bookmarkStart w:id="400" w:name="_Toc26608"/>
      <w:bookmarkStart w:id="401" w:name="_Toc817"/>
      <w:bookmarkStart w:id="402" w:name="_Toc88424339"/>
      <w:r>
        <w:rPr>
          <w:rFonts w:eastAsia="黑体"/>
          <w:sz w:val="32"/>
          <w:szCs w:val="32"/>
          <w:highlight w:val="none"/>
        </w:rPr>
        <w:t>五、保障措施</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pStyle w:val="4"/>
        <w:spacing w:line="600" w:lineRule="exact"/>
        <w:ind w:firstLine="643" w:firstLineChars="200"/>
        <w:outlineLvl w:val="1"/>
        <w:rPr>
          <w:rFonts w:eastAsia="楷体_GB2312"/>
          <w:b/>
          <w:bCs/>
          <w:sz w:val="32"/>
          <w:szCs w:val="32"/>
          <w:highlight w:val="none"/>
        </w:rPr>
      </w:pPr>
      <w:bookmarkStart w:id="403" w:name="_Toc790"/>
      <w:bookmarkStart w:id="404" w:name="_Toc9749"/>
      <w:bookmarkStart w:id="405" w:name="_Toc21583"/>
      <w:bookmarkStart w:id="406" w:name="_Toc8302"/>
      <w:bookmarkStart w:id="407" w:name="_Toc78802181"/>
      <w:bookmarkStart w:id="408" w:name="_Toc25129"/>
      <w:bookmarkStart w:id="409" w:name="_Toc27789"/>
      <w:bookmarkStart w:id="410" w:name="_Toc18840"/>
      <w:bookmarkStart w:id="411" w:name="_Toc30669"/>
      <w:bookmarkStart w:id="412" w:name="_Toc17765"/>
      <w:bookmarkStart w:id="413" w:name="_Toc20846"/>
      <w:bookmarkStart w:id="414" w:name="_Toc56776861"/>
      <w:bookmarkStart w:id="415" w:name="_Toc17688"/>
      <w:bookmarkStart w:id="416" w:name="_Toc25645"/>
      <w:bookmarkStart w:id="417" w:name="_Toc11490"/>
      <w:bookmarkStart w:id="418" w:name="_Toc32700"/>
      <w:bookmarkStart w:id="419" w:name="_Toc84829672"/>
      <w:bookmarkStart w:id="420" w:name="_Toc25073"/>
      <w:bookmarkStart w:id="421" w:name="_Toc19481"/>
      <w:bookmarkStart w:id="422" w:name="_Toc3377"/>
      <w:bookmarkStart w:id="423" w:name="_Toc1021"/>
      <w:bookmarkStart w:id="424" w:name="_Toc88424340"/>
      <w:bookmarkStart w:id="425" w:name="_Toc6673"/>
      <w:bookmarkStart w:id="426" w:name="_Toc10612"/>
      <w:bookmarkStart w:id="427" w:name="_Toc2082"/>
      <w:bookmarkStart w:id="428" w:name="_Toc29381"/>
      <w:bookmarkStart w:id="429" w:name="_Toc81518462"/>
      <w:r>
        <w:rPr>
          <w:rFonts w:eastAsia="楷体_GB2312"/>
          <w:b/>
          <w:bCs/>
          <w:sz w:val="32"/>
          <w:szCs w:val="32"/>
          <w:highlight w:val="none"/>
        </w:rPr>
        <w:t>（一）</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楷体_GB2312"/>
          <w:b/>
          <w:bCs/>
          <w:sz w:val="32"/>
          <w:szCs w:val="32"/>
          <w:highlight w:val="none"/>
        </w:rPr>
        <w:t>加强规划组织领导</w:t>
      </w:r>
      <w:bookmarkEnd w:id="417"/>
      <w:bookmarkEnd w:id="418"/>
      <w:bookmarkEnd w:id="419"/>
      <w:bookmarkEnd w:id="420"/>
      <w:bookmarkEnd w:id="421"/>
      <w:bookmarkEnd w:id="422"/>
      <w:bookmarkEnd w:id="423"/>
      <w:bookmarkEnd w:id="424"/>
      <w:bookmarkEnd w:id="425"/>
      <w:bookmarkEnd w:id="426"/>
      <w:bookmarkEnd w:id="427"/>
      <w:bookmarkEnd w:id="428"/>
      <w:bookmarkEnd w:id="429"/>
    </w:p>
    <w:p>
      <w:pPr>
        <w:pStyle w:val="4"/>
        <w:spacing w:line="600" w:lineRule="exact"/>
        <w:ind w:firstLine="640" w:firstLineChars="200"/>
        <w:rPr>
          <w:rFonts w:eastAsia="仿宋_GB2312"/>
          <w:sz w:val="32"/>
          <w:szCs w:val="32"/>
          <w:highlight w:val="none"/>
        </w:rPr>
      </w:pPr>
      <w:bookmarkStart w:id="430" w:name="_Toc15190"/>
      <w:r>
        <w:rPr>
          <w:rFonts w:eastAsia="仿宋_GB2312"/>
          <w:sz w:val="32"/>
          <w:szCs w:val="32"/>
          <w:highlight w:val="none"/>
        </w:rPr>
        <w:t>加强组织领导，强化各部门协作，加强区镇（园区）联动，定期召开推进会议，建立健全重大项目推进机制，统筹解决规划实施过程中重大事项，确保发展目标和主要任务顺利完成。强化对规划实施情况的跟踪监测、评估、预警和监督，开展年度跟踪、中期评估和末期评估动态管理，严格按照规定对规划进行动态调整。加强规划及相关政策宣传力度，健全政府与企业、协会团体等组织沟通交流机制，鼓励动员各类市场主体、智库机构、高校科研院所等社会力量积极参与推进规划实施。</w:t>
      </w:r>
      <w:bookmarkEnd w:id="430"/>
    </w:p>
    <w:p>
      <w:pPr>
        <w:pStyle w:val="4"/>
        <w:spacing w:line="600" w:lineRule="exact"/>
        <w:ind w:firstLine="643" w:firstLineChars="200"/>
        <w:outlineLvl w:val="1"/>
        <w:rPr>
          <w:rFonts w:eastAsia="楷体_GB2312"/>
          <w:b/>
          <w:bCs/>
          <w:sz w:val="32"/>
          <w:szCs w:val="32"/>
          <w:highlight w:val="none"/>
        </w:rPr>
      </w:pPr>
      <w:bookmarkStart w:id="431" w:name="_Toc21651"/>
      <w:bookmarkStart w:id="432" w:name="_Toc32645"/>
      <w:bookmarkStart w:id="433" w:name="_Toc17116"/>
      <w:bookmarkStart w:id="434" w:name="_Toc88424341"/>
      <w:bookmarkStart w:id="435" w:name="_Toc23131"/>
      <w:bookmarkStart w:id="436" w:name="_Toc3038"/>
      <w:bookmarkStart w:id="437" w:name="_Toc20892"/>
      <w:bookmarkStart w:id="438" w:name="_Toc28451"/>
      <w:bookmarkStart w:id="439" w:name="_Toc8932"/>
      <w:bookmarkStart w:id="440" w:name="_Toc10770"/>
      <w:bookmarkStart w:id="441" w:name="_Toc81518464"/>
      <w:bookmarkStart w:id="442" w:name="_Toc22158"/>
      <w:bookmarkStart w:id="443" w:name="_Toc84829673"/>
      <w:bookmarkStart w:id="444" w:name="_Toc31658"/>
      <w:bookmarkStart w:id="445" w:name="_Toc3308"/>
      <w:bookmarkStart w:id="446" w:name="_Toc31518"/>
      <w:bookmarkStart w:id="447" w:name="_Toc23620"/>
      <w:bookmarkStart w:id="448" w:name="_Toc78802182"/>
      <w:bookmarkStart w:id="449" w:name="_Toc5075"/>
      <w:bookmarkStart w:id="450" w:name="_Toc31362"/>
      <w:bookmarkStart w:id="451" w:name="_Toc521"/>
      <w:r>
        <w:rPr>
          <w:rFonts w:eastAsia="楷体_GB2312"/>
          <w:b/>
          <w:bCs/>
          <w:sz w:val="32"/>
          <w:szCs w:val="32"/>
          <w:highlight w:val="none"/>
        </w:rPr>
        <w:t>（二）强化政策精准支持</w:t>
      </w:r>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11"/>
        <w:widowControl/>
        <w:shd w:val="clear" w:color="auto" w:fill="FFFFFF"/>
        <w:spacing w:before="0" w:beforeAutospacing="0" w:after="0" w:afterAutospacing="0" w:line="600" w:lineRule="exact"/>
        <w:ind w:firstLine="640" w:firstLineChars="200"/>
        <w:jc w:val="both"/>
        <w:rPr>
          <w:rFonts w:eastAsia="仿宋_GB2312"/>
          <w:sz w:val="32"/>
          <w:szCs w:val="32"/>
          <w:highlight w:val="none"/>
        </w:rPr>
      </w:pPr>
      <w:r>
        <w:rPr>
          <w:rFonts w:eastAsia="仿宋_GB2312"/>
          <w:sz w:val="32"/>
          <w:szCs w:val="32"/>
          <w:highlight w:val="none"/>
        </w:rPr>
        <w:t>加强对产业重点环节、重点企业、重点项目、重大工程支持，扩大“拨改投”使用范围，提高产业资金的使用效率。对标先进地区，</w:t>
      </w:r>
      <w:r>
        <w:rPr>
          <w:rFonts w:eastAsia="仿宋_GB2312"/>
          <w:color w:val="000000"/>
          <w:kern w:val="2"/>
          <w:sz w:val="32"/>
          <w:szCs w:val="32"/>
          <w:highlight w:val="none"/>
        </w:rPr>
        <w:t>进一步优化升级在科技创新、“智改数转”、企业培育、绿色发展、开放合作等方面的支持政策。用好昆山市产业发展投资母基金，</w:t>
      </w:r>
      <w:r>
        <w:rPr>
          <w:rFonts w:eastAsia="仿宋_GB2312"/>
          <w:sz w:val="32"/>
          <w:szCs w:val="32"/>
          <w:highlight w:val="none"/>
        </w:rPr>
        <w:t>扩大产业发展引导基金规模，高效运作昆山天使投资基金，形成分工明确、协同发展的国有出资基金运作格局，合力推动构建现代产业发展。</w:t>
      </w:r>
      <w:r>
        <w:rPr>
          <w:rFonts w:eastAsia="仿宋_GB2312"/>
          <w:color w:val="000000"/>
          <w:kern w:val="2"/>
          <w:sz w:val="32"/>
          <w:szCs w:val="32"/>
          <w:highlight w:val="none"/>
        </w:rPr>
        <w:t>扩大财政风险补偿资金规模，</w:t>
      </w:r>
      <w:r>
        <w:rPr>
          <w:rFonts w:eastAsia="仿宋_GB2312"/>
          <w:sz w:val="32"/>
          <w:szCs w:val="32"/>
          <w:highlight w:val="none"/>
        </w:rPr>
        <w:t>充分发挥财政贴息、风险补偿等方式作用，拓展融资渠道覆盖面，降低制造企业融资成本。</w:t>
      </w:r>
    </w:p>
    <w:bookmarkEnd w:id="444"/>
    <w:bookmarkEnd w:id="445"/>
    <w:bookmarkEnd w:id="446"/>
    <w:bookmarkEnd w:id="447"/>
    <w:bookmarkEnd w:id="448"/>
    <w:bookmarkEnd w:id="449"/>
    <w:bookmarkEnd w:id="450"/>
    <w:bookmarkEnd w:id="451"/>
    <w:p>
      <w:pPr>
        <w:pStyle w:val="4"/>
        <w:spacing w:line="600" w:lineRule="exact"/>
        <w:ind w:firstLine="643" w:firstLineChars="200"/>
        <w:outlineLvl w:val="1"/>
        <w:rPr>
          <w:rFonts w:eastAsia="楷体_GB2312"/>
          <w:b/>
          <w:bCs/>
          <w:sz w:val="32"/>
          <w:szCs w:val="32"/>
          <w:highlight w:val="none"/>
        </w:rPr>
      </w:pPr>
      <w:bookmarkStart w:id="452" w:name="_Toc20560"/>
      <w:bookmarkStart w:id="453" w:name="_Toc18052"/>
      <w:bookmarkStart w:id="454" w:name="_Toc4422"/>
      <w:bookmarkStart w:id="455" w:name="_Toc20023"/>
      <w:bookmarkStart w:id="456" w:name="_Toc5069"/>
      <w:bookmarkStart w:id="457" w:name="_Toc16835"/>
      <w:bookmarkStart w:id="458" w:name="_Toc20590"/>
      <w:bookmarkStart w:id="459" w:name="_Toc10443"/>
      <w:bookmarkStart w:id="460" w:name="_Toc2838"/>
      <w:bookmarkStart w:id="461" w:name="_Toc84829674"/>
      <w:bookmarkStart w:id="462" w:name="_Toc30643"/>
      <w:bookmarkStart w:id="463" w:name="_Toc5503"/>
      <w:bookmarkStart w:id="464" w:name="_Toc10431"/>
      <w:bookmarkStart w:id="465" w:name="_Toc88424342"/>
      <w:bookmarkStart w:id="466" w:name="_Toc18779"/>
      <w:bookmarkStart w:id="467" w:name="_Toc15280"/>
      <w:bookmarkStart w:id="468" w:name="_Toc24625"/>
      <w:bookmarkStart w:id="469" w:name="_Toc78802183"/>
      <w:bookmarkStart w:id="470" w:name="_Toc21934"/>
      <w:bookmarkStart w:id="471" w:name="_Toc27776"/>
      <w:bookmarkStart w:id="472" w:name="_Toc81518465"/>
      <w:bookmarkStart w:id="473" w:name="_Toc16717"/>
      <w:bookmarkStart w:id="474" w:name="_Toc29992"/>
      <w:bookmarkStart w:id="475" w:name="_Toc29840"/>
      <w:bookmarkStart w:id="476" w:name="_Toc7780"/>
      <w:bookmarkStart w:id="477" w:name="_Toc28446"/>
      <w:r>
        <w:rPr>
          <w:rFonts w:eastAsia="楷体_GB2312"/>
          <w:b/>
          <w:bCs/>
          <w:sz w:val="32"/>
          <w:szCs w:val="32"/>
          <w:highlight w:val="none"/>
        </w:rPr>
        <w:t>（三）</w:t>
      </w:r>
      <w:bookmarkEnd w:id="452"/>
      <w:bookmarkEnd w:id="453"/>
      <w:bookmarkEnd w:id="454"/>
      <w:bookmarkEnd w:id="455"/>
      <w:bookmarkEnd w:id="456"/>
      <w:bookmarkEnd w:id="457"/>
      <w:bookmarkEnd w:id="458"/>
      <w:bookmarkEnd w:id="459"/>
      <w:r>
        <w:rPr>
          <w:rFonts w:eastAsia="楷体_GB2312"/>
          <w:b/>
          <w:bCs/>
          <w:sz w:val="32"/>
          <w:szCs w:val="32"/>
          <w:highlight w:val="none"/>
        </w:rPr>
        <w:t>加大人才引培力度</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4"/>
        <w:spacing w:line="600" w:lineRule="exact"/>
        <w:ind w:firstLine="640" w:firstLineChars="200"/>
        <w:rPr>
          <w:rFonts w:eastAsia="仿宋_GB2312"/>
          <w:sz w:val="32"/>
          <w:szCs w:val="32"/>
          <w:highlight w:val="none"/>
        </w:rPr>
      </w:pPr>
      <w:r>
        <w:rPr>
          <w:rFonts w:eastAsia="仿宋_GB2312"/>
          <w:sz w:val="32"/>
          <w:szCs w:val="32"/>
          <w:highlight w:val="none"/>
        </w:rPr>
        <w:t>实施更积极、更开放、更有效的人才科创政策，加大高层次人才引进力度，努力构建以“头雁人才”为引领，双创人才、产业人才、高技能人才支撑发展的新格局。实施“昆玉薪传”计划、科技企业家培育工程等，选树优秀民营企业家典型，培养一批优秀青年企业家队伍。优化专业技术人才引培、留用机制，盘活资源，打造一批高水平工程师队伍。完善高技能人才引进、培养、激励等政策，加强领军型高技能人才引进。深化产教融合，支持新型职业技术资格评定，开展企业学院建设试点，增强职业院校、技能大师工作室、公共实训基地等载体的高技能人才培养能力。依法规范人力资源市场活动，维护公平竞争、规范有序的人力资源市场秩序，健全需求精准对接机制，进一步保障企业用工需求。</w:t>
      </w:r>
    </w:p>
    <w:p>
      <w:pPr>
        <w:pStyle w:val="4"/>
        <w:spacing w:line="600" w:lineRule="exact"/>
        <w:ind w:firstLine="643" w:firstLineChars="200"/>
        <w:outlineLvl w:val="1"/>
        <w:rPr>
          <w:rFonts w:eastAsia="楷体_GB2312"/>
          <w:b/>
          <w:bCs/>
          <w:sz w:val="32"/>
          <w:szCs w:val="32"/>
          <w:highlight w:val="none"/>
        </w:rPr>
      </w:pPr>
      <w:bookmarkStart w:id="478" w:name="_Toc4411"/>
      <w:bookmarkStart w:id="479" w:name="_Toc81518466"/>
      <w:bookmarkStart w:id="480" w:name="_Toc88424343"/>
      <w:bookmarkStart w:id="481" w:name="_Toc84829675"/>
      <w:bookmarkStart w:id="482" w:name="_Toc11447"/>
      <w:bookmarkStart w:id="483" w:name="_Toc22968"/>
      <w:bookmarkStart w:id="484" w:name="_Toc6487"/>
      <w:bookmarkStart w:id="485" w:name="_Toc8119"/>
      <w:bookmarkStart w:id="486" w:name="_Toc28312"/>
      <w:bookmarkStart w:id="487" w:name="_Toc6455"/>
      <w:bookmarkStart w:id="488" w:name="_Toc23474"/>
      <w:bookmarkStart w:id="489" w:name="_Toc30027"/>
      <w:bookmarkStart w:id="490" w:name="_Toc12230"/>
      <w:r>
        <w:rPr>
          <w:rFonts w:eastAsia="楷体_GB2312"/>
          <w:b/>
          <w:bCs/>
          <w:sz w:val="32"/>
          <w:szCs w:val="32"/>
          <w:highlight w:val="none"/>
        </w:rPr>
        <w:t>（四）保障产业用地</w:t>
      </w:r>
      <w:bookmarkEnd w:id="478"/>
      <w:bookmarkEnd w:id="479"/>
      <w:r>
        <w:rPr>
          <w:rFonts w:eastAsia="楷体_GB2312"/>
          <w:b/>
          <w:bCs/>
          <w:sz w:val="32"/>
          <w:szCs w:val="32"/>
          <w:highlight w:val="none"/>
        </w:rPr>
        <w:t>供给</w:t>
      </w:r>
      <w:bookmarkEnd w:id="480"/>
      <w:bookmarkEnd w:id="481"/>
      <w:bookmarkEnd w:id="482"/>
      <w:bookmarkEnd w:id="483"/>
      <w:bookmarkEnd w:id="484"/>
      <w:bookmarkEnd w:id="485"/>
      <w:bookmarkEnd w:id="486"/>
      <w:bookmarkEnd w:id="487"/>
      <w:bookmarkEnd w:id="488"/>
      <w:bookmarkEnd w:id="489"/>
      <w:bookmarkEnd w:id="490"/>
    </w:p>
    <w:p>
      <w:pPr>
        <w:pStyle w:val="4"/>
        <w:spacing w:line="600" w:lineRule="exact"/>
        <w:ind w:firstLine="640" w:firstLineChars="200"/>
        <w:rPr>
          <w:rFonts w:eastAsia="仿宋_GB2312"/>
          <w:sz w:val="32"/>
          <w:szCs w:val="32"/>
          <w:highlight w:val="none"/>
        </w:rPr>
      </w:pPr>
      <w:r>
        <w:rPr>
          <w:rFonts w:eastAsia="仿宋_GB2312"/>
          <w:sz w:val="32"/>
          <w:szCs w:val="32"/>
          <w:highlight w:val="none"/>
        </w:rPr>
        <w:t>结合苏州产业用地更新“双百行动”，划定不低于18.28万亩工业和生产性研发用地保障线，实施存量产业用地更新计划，保障制造业发展空间。鼓励区镇政府、国有公司以土地回购、合作开发、使用权作价入股等模式，通过拆除重建、改造提升等多种方式推进工业区改造升级，盘活存量用地。加快布局产业基地、产业社区，推动小微产业园整治提升，</w:t>
      </w:r>
      <w:bookmarkStart w:id="518" w:name="_GoBack"/>
      <w:bookmarkEnd w:id="518"/>
      <w:r>
        <w:rPr>
          <w:rFonts w:eastAsia="仿宋_GB2312"/>
          <w:sz w:val="32"/>
          <w:szCs w:val="32"/>
          <w:highlight w:val="none"/>
        </w:rPr>
        <w:t>促进低效工业用地再开发。深化土地全生命周期管理，对改造后工业区入驻项目在项目准入、用地供给、批后监管和后期评价等方面加强全过程监管，严格落实产业项目全生命周期管理，完善项目退出机制。</w:t>
      </w:r>
    </w:p>
    <w:p>
      <w:pPr>
        <w:pStyle w:val="4"/>
        <w:spacing w:line="600" w:lineRule="exact"/>
        <w:ind w:firstLine="643" w:firstLineChars="200"/>
        <w:outlineLvl w:val="1"/>
        <w:rPr>
          <w:rFonts w:eastAsia="楷体_GB2312"/>
          <w:b/>
          <w:bCs/>
          <w:sz w:val="32"/>
          <w:szCs w:val="32"/>
          <w:highlight w:val="none"/>
        </w:rPr>
      </w:pPr>
      <w:bookmarkStart w:id="491" w:name="_Toc78802184"/>
      <w:bookmarkStart w:id="492" w:name="_Toc24921"/>
      <w:bookmarkStart w:id="493" w:name="_Toc88424344"/>
      <w:bookmarkStart w:id="494" w:name="_Toc17448"/>
      <w:bookmarkStart w:id="495" w:name="_Toc56776865"/>
      <w:bookmarkStart w:id="496" w:name="_Toc30944"/>
      <w:bookmarkStart w:id="497" w:name="_Toc5045"/>
      <w:bookmarkStart w:id="498" w:name="_Toc26452"/>
      <w:bookmarkStart w:id="499" w:name="_Toc12511"/>
      <w:bookmarkStart w:id="500" w:name="_Toc4275"/>
      <w:bookmarkStart w:id="501" w:name="_Toc17311"/>
      <w:bookmarkStart w:id="502" w:name="_Toc84829676"/>
      <w:bookmarkStart w:id="503" w:name="_Toc3676"/>
      <w:bookmarkStart w:id="504" w:name="_Toc10674"/>
      <w:bookmarkStart w:id="505" w:name="_Toc13360"/>
      <w:bookmarkStart w:id="506" w:name="_Toc25041"/>
      <w:bookmarkStart w:id="507" w:name="_Toc9269"/>
      <w:bookmarkStart w:id="508" w:name="_Toc17095"/>
      <w:bookmarkStart w:id="509" w:name="_Toc15756"/>
      <w:bookmarkStart w:id="510" w:name="_Toc16604"/>
      <w:bookmarkStart w:id="511" w:name="_Toc8954"/>
      <w:bookmarkStart w:id="512" w:name="_Toc32371"/>
      <w:bookmarkStart w:id="513" w:name="_Toc29072"/>
      <w:bookmarkStart w:id="514" w:name="_Toc1609"/>
      <w:bookmarkStart w:id="515" w:name="_Toc81518467"/>
      <w:bookmarkStart w:id="516" w:name="_Toc9682"/>
      <w:bookmarkStart w:id="517" w:name="_Toc31300"/>
      <w:r>
        <w:rPr>
          <w:rFonts w:eastAsia="楷体_GB2312"/>
          <w:b/>
          <w:bCs/>
          <w:sz w:val="32"/>
          <w:szCs w:val="32"/>
          <w:highlight w:val="none"/>
        </w:rPr>
        <w:t>（五）打造一流营商环境</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5"/>
        <w:spacing w:line="600" w:lineRule="exact"/>
        <w:ind w:firstLine="640" w:firstLineChars="200"/>
        <w:rPr>
          <w:highlight w:val="none"/>
        </w:rPr>
      </w:pPr>
      <w:r>
        <w:rPr>
          <w:rFonts w:eastAsia="仿宋_GB2312"/>
          <w:sz w:val="32"/>
          <w:szCs w:val="32"/>
          <w:highlight w:val="none"/>
        </w:rPr>
        <w:t>围绕深化“放管服”改革、破解企业投资障碍、提升亲商护商服务、规范监督执法行为等方面，进一步健全企业困难协调和帮扶机制，擦亮“昆如意”营商服务品牌。深化“不见面审批”改革，探索营商服务新模式新机制，打造营商环境“昆山方案”的升级版。推动“互联网+政务服务”，推进“一网通办”“一窗办结”“多规合一”，持续推动审批提速，全面提升政府服务效能。依法保障各类市场主体平等地位，深入推进知识产权、科技创新、人力资源、金融服务等各类服务平台建设，为企业提供专业化服务。</w:t>
      </w:r>
    </w:p>
    <w:sectPr>
      <w:pgSz w:w="11906" w:h="16838"/>
      <w:pgMar w:top="2098" w:right="1361"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C75A9F-E399-48F0-AF15-E23BDBD773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A63D0E9-B571-46EA-8CF7-841CBBB5FB41}"/>
  </w:font>
  <w:font w:name="方正小标宋_GBK">
    <w:panose1 w:val="03000509000000000000"/>
    <w:charset w:val="86"/>
    <w:family w:val="auto"/>
    <w:pitch w:val="default"/>
    <w:sig w:usb0="00000001" w:usb1="080E0000" w:usb2="00000000" w:usb3="00000000" w:csb0="00040000" w:csb1="00000000"/>
    <w:embedRegular r:id="rId3" w:fontKey="{A0F464D5-827D-48B8-9B0F-C44CD8974885}"/>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4" w:fontKey="{DE2BD9A5-6C48-4D6C-950E-600D8EDB0671}"/>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477BF190-2F09-4409-A13A-5483B1D62D7C}"/>
  </w:font>
  <w:font w:name="方正楷体_GBK">
    <w:altName w:val="微软雅黑"/>
    <w:panose1 w:val="00000000000000000000"/>
    <w:charset w:val="86"/>
    <w:family w:val="script"/>
    <w:pitch w:val="default"/>
    <w:sig w:usb0="00000000" w:usb1="00000000" w:usb2="00000010" w:usb3="00000000" w:csb0="00040000" w:csb1="00000000"/>
    <w:embedRegular r:id="rId6" w:fontKey="{F2FCA484-A2D6-4CA7-933F-8DE3DBC7FCDF}"/>
  </w:font>
  <w:font w:name="方正黑体_GBK">
    <w:altName w:val="微软雅黑"/>
    <w:panose1 w:val="00000000000000000000"/>
    <w:charset w:val="86"/>
    <w:family w:val="script"/>
    <w:pitch w:val="default"/>
    <w:sig w:usb0="00000000" w:usb1="00000000" w:usb2="00000010" w:usb3="00000000" w:csb0="00040000" w:csb1="00000000"/>
    <w:embedRegular r:id="rId7" w:fontKey="{33838BDF-1655-4AA1-A5AC-658A8AA029BE}"/>
  </w:font>
  <w:font w:name="Arial Unicode MS">
    <w:altName w:val="宋体"/>
    <w:panose1 w:val="020B0604020202020204"/>
    <w:charset w:val="86"/>
    <w:family w:val="auto"/>
    <w:pitch w:val="default"/>
    <w:sig w:usb0="00000000" w:usb1="00000000" w:usb2="0000003F" w:usb3="00000000" w:csb0="603F01FF" w:csb1="FFFF0000"/>
    <w:embedRegular r:id="rId8" w:fontKey="{C3F2F784-3C9F-4A49-A525-D41AAE89948B}"/>
  </w:font>
  <w:font w:name="微软雅黑">
    <w:panose1 w:val="020B0503020204020204"/>
    <w:charset w:val="86"/>
    <w:family w:val="swiss"/>
    <w:pitch w:val="default"/>
    <w:sig w:usb0="80000287" w:usb1="2ACF3C50" w:usb2="00000016" w:usb3="00000000" w:csb0="0004001F" w:csb1="00000000"/>
    <w:embedRegular r:id="rId9" w:fontKey="{BE409C44-937E-4195-907F-E9066ACB5DF7}"/>
  </w:font>
  <w:font w:name="Times New Roman Regular">
    <w:altName w:val="Times New Roman"/>
    <w:panose1 w:val="02020603050405020304"/>
    <w:charset w:val="00"/>
    <w:family w:val="auto"/>
    <w:pitch w:val="default"/>
    <w:sig w:usb0="00000000" w:usb1="00000000" w:usb2="00000000" w:usb3="00000000" w:csb0="00000000" w:csb1="00000000"/>
    <w:embedRegular r:id="rId10" w:fontKey="{CA6C23EE-4D59-4A5D-B9D4-1BCC60A18B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589" w:y="1"/>
      <w:rPr>
        <w:rStyle w:val="16"/>
        <w:sz w:val="28"/>
        <w:szCs w:val="28"/>
      </w:rPr>
    </w:pPr>
    <w:r>
      <w:rPr>
        <w:rStyle w:val="16"/>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27</w:t>
    </w:r>
    <w:r>
      <w:rPr>
        <w:rStyle w:val="16"/>
        <w:sz w:val="28"/>
        <w:szCs w:val="28"/>
      </w:rPr>
      <w:fldChar w:fldCharType="end"/>
    </w:r>
    <w:r>
      <w:rPr>
        <w:rStyle w:val="16"/>
        <w:sz w:val="28"/>
        <w:szCs w:val="28"/>
      </w:rPr>
      <w:t xml:space="preserve"> —</w:t>
    </w: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2"/>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2YjI2NGM2MzY4YzkyNDdlNDQ2MjQyOGU4YTdmYmUifQ=="/>
  </w:docVars>
  <w:rsids>
    <w:rsidRoot w:val="5FEF2EE0"/>
    <w:rsid w:val="000157F0"/>
    <w:rsid w:val="00025A9B"/>
    <w:rsid w:val="00045C36"/>
    <w:rsid w:val="0004710C"/>
    <w:rsid w:val="0007056C"/>
    <w:rsid w:val="0007278B"/>
    <w:rsid w:val="00097F25"/>
    <w:rsid w:val="000A48B1"/>
    <w:rsid w:val="000A6521"/>
    <w:rsid w:val="000C6BBE"/>
    <w:rsid w:val="000D3582"/>
    <w:rsid w:val="000E530D"/>
    <w:rsid w:val="000E595B"/>
    <w:rsid w:val="000F3458"/>
    <w:rsid w:val="00100636"/>
    <w:rsid w:val="00116962"/>
    <w:rsid w:val="00140CD8"/>
    <w:rsid w:val="00140FEE"/>
    <w:rsid w:val="00161799"/>
    <w:rsid w:val="00187E3A"/>
    <w:rsid w:val="00191D6E"/>
    <w:rsid w:val="001923ED"/>
    <w:rsid w:val="001A2005"/>
    <w:rsid w:val="001C406A"/>
    <w:rsid w:val="001D0C8F"/>
    <w:rsid w:val="00206475"/>
    <w:rsid w:val="00210A53"/>
    <w:rsid w:val="00217D55"/>
    <w:rsid w:val="00221243"/>
    <w:rsid w:val="00234608"/>
    <w:rsid w:val="00261C60"/>
    <w:rsid w:val="0026217F"/>
    <w:rsid w:val="00271122"/>
    <w:rsid w:val="00285E4A"/>
    <w:rsid w:val="002905F8"/>
    <w:rsid w:val="002A7E1A"/>
    <w:rsid w:val="002C0FC2"/>
    <w:rsid w:val="0031102F"/>
    <w:rsid w:val="00320313"/>
    <w:rsid w:val="00346E76"/>
    <w:rsid w:val="00372AF8"/>
    <w:rsid w:val="003B6CB6"/>
    <w:rsid w:val="003C1DE0"/>
    <w:rsid w:val="0043363E"/>
    <w:rsid w:val="00437229"/>
    <w:rsid w:val="00442D04"/>
    <w:rsid w:val="00444396"/>
    <w:rsid w:val="0045182F"/>
    <w:rsid w:val="00454EC4"/>
    <w:rsid w:val="00466D58"/>
    <w:rsid w:val="00494C09"/>
    <w:rsid w:val="004A798D"/>
    <w:rsid w:val="004B133A"/>
    <w:rsid w:val="004C2D04"/>
    <w:rsid w:val="004C5AFD"/>
    <w:rsid w:val="004F5499"/>
    <w:rsid w:val="00507161"/>
    <w:rsid w:val="005137F7"/>
    <w:rsid w:val="00546E60"/>
    <w:rsid w:val="00584CC8"/>
    <w:rsid w:val="005979FC"/>
    <w:rsid w:val="005C21EC"/>
    <w:rsid w:val="005D1363"/>
    <w:rsid w:val="005E594F"/>
    <w:rsid w:val="005E62E6"/>
    <w:rsid w:val="005F18A7"/>
    <w:rsid w:val="00602976"/>
    <w:rsid w:val="006047BE"/>
    <w:rsid w:val="00604F54"/>
    <w:rsid w:val="00607C84"/>
    <w:rsid w:val="006159FE"/>
    <w:rsid w:val="006265D4"/>
    <w:rsid w:val="006A3352"/>
    <w:rsid w:val="006B3466"/>
    <w:rsid w:val="006C1EC4"/>
    <w:rsid w:val="006D130B"/>
    <w:rsid w:val="006D62CC"/>
    <w:rsid w:val="006E42A0"/>
    <w:rsid w:val="006E726E"/>
    <w:rsid w:val="006F5195"/>
    <w:rsid w:val="007149B8"/>
    <w:rsid w:val="0072729A"/>
    <w:rsid w:val="00732DD4"/>
    <w:rsid w:val="00742432"/>
    <w:rsid w:val="00756965"/>
    <w:rsid w:val="00757A8D"/>
    <w:rsid w:val="007622F9"/>
    <w:rsid w:val="007658C5"/>
    <w:rsid w:val="0076629D"/>
    <w:rsid w:val="007815B6"/>
    <w:rsid w:val="007829D1"/>
    <w:rsid w:val="007A745E"/>
    <w:rsid w:val="007C3727"/>
    <w:rsid w:val="007C6523"/>
    <w:rsid w:val="00817303"/>
    <w:rsid w:val="0081772C"/>
    <w:rsid w:val="00834C91"/>
    <w:rsid w:val="0084081C"/>
    <w:rsid w:val="00880AF8"/>
    <w:rsid w:val="00886DA5"/>
    <w:rsid w:val="008D1174"/>
    <w:rsid w:val="008E2362"/>
    <w:rsid w:val="008E700E"/>
    <w:rsid w:val="00900203"/>
    <w:rsid w:val="00903D54"/>
    <w:rsid w:val="00910DF0"/>
    <w:rsid w:val="009203C1"/>
    <w:rsid w:val="00927A79"/>
    <w:rsid w:val="00940391"/>
    <w:rsid w:val="0094513E"/>
    <w:rsid w:val="00951B51"/>
    <w:rsid w:val="00954AEE"/>
    <w:rsid w:val="009554A7"/>
    <w:rsid w:val="0095700E"/>
    <w:rsid w:val="00965BBF"/>
    <w:rsid w:val="0096765B"/>
    <w:rsid w:val="009925B7"/>
    <w:rsid w:val="009A0F6C"/>
    <w:rsid w:val="009C04A9"/>
    <w:rsid w:val="009D6C0C"/>
    <w:rsid w:val="009F4A1E"/>
    <w:rsid w:val="00A24064"/>
    <w:rsid w:val="00A271D6"/>
    <w:rsid w:val="00A47AC5"/>
    <w:rsid w:val="00A61773"/>
    <w:rsid w:val="00A62D3C"/>
    <w:rsid w:val="00A677A3"/>
    <w:rsid w:val="00A7776F"/>
    <w:rsid w:val="00A8475C"/>
    <w:rsid w:val="00A93A4D"/>
    <w:rsid w:val="00A943D7"/>
    <w:rsid w:val="00A94C4E"/>
    <w:rsid w:val="00A94DC2"/>
    <w:rsid w:val="00AA7F55"/>
    <w:rsid w:val="00AD7F2C"/>
    <w:rsid w:val="00AF1498"/>
    <w:rsid w:val="00B07A9A"/>
    <w:rsid w:val="00B618D2"/>
    <w:rsid w:val="00B623FC"/>
    <w:rsid w:val="00B64D2D"/>
    <w:rsid w:val="00B7464E"/>
    <w:rsid w:val="00BA047E"/>
    <w:rsid w:val="00BA4B4F"/>
    <w:rsid w:val="00BE6524"/>
    <w:rsid w:val="00BF7928"/>
    <w:rsid w:val="00C01C63"/>
    <w:rsid w:val="00C07A8B"/>
    <w:rsid w:val="00C14BB1"/>
    <w:rsid w:val="00C361D7"/>
    <w:rsid w:val="00C44FBA"/>
    <w:rsid w:val="00C54976"/>
    <w:rsid w:val="00C610A2"/>
    <w:rsid w:val="00C67A4C"/>
    <w:rsid w:val="00C87AA8"/>
    <w:rsid w:val="00CA015A"/>
    <w:rsid w:val="00CA3A59"/>
    <w:rsid w:val="00D103E3"/>
    <w:rsid w:val="00D14CB1"/>
    <w:rsid w:val="00D21D73"/>
    <w:rsid w:val="00D22837"/>
    <w:rsid w:val="00D27097"/>
    <w:rsid w:val="00D364F9"/>
    <w:rsid w:val="00D4747B"/>
    <w:rsid w:val="00D547BA"/>
    <w:rsid w:val="00D60F2F"/>
    <w:rsid w:val="00D8038E"/>
    <w:rsid w:val="00D86B4D"/>
    <w:rsid w:val="00D91CB9"/>
    <w:rsid w:val="00DA11DA"/>
    <w:rsid w:val="00DB096F"/>
    <w:rsid w:val="00DE0672"/>
    <w:rsid w:val="00DE3018"/>
    <w:rsid w:val="00DE7332"/>
    <w:rsid w:val="00E16D57"/>
    <w:rsid w:val="00E52C88"/>
    <w:rsid w:val="00E65EAB"/>
    <w:rsid w:val="00E74BDE"/>
    <w:rsid w:val="00E8005A"/>
    <w:rsid w:val="00E95C26"/>
    <w:rsid w:val="00EA4B96"/>
    <w:rsid w:val="00EC4346"/>
    <w:rsid w:val="00ED2ECD"/>
    <w:rsid w:val="00EF0F41"/>
    <w:rsid w:val="00EF60AF"/>
    <w:rsid w:val="00F15B7D"/>
    <w:rsid w:val="00F407EF"/>
    <w:rsid w:val="00F40A19"/>
    <w:rsid w:val="00F44957"/>
    <w:rsid w:val="00F467D9"/>
    <w:rsid w:val="00F65A71"/>
    <w:rsid w:val="00FA25D2"/>
    <w:rsid w:val="00FA5E46"/>
    <w:rsid w:val="00FB6BAC"/>
    <w:rsid w:val="00FB7EB6"/>
    <w:rsid w:val="00FC2801"/>
    <w:rsid w:val="00FC526D"/>
    <w:rsid w:val="00FF3ACA"/>
    <w:rsid w:val="00FF5D4A"/>
    <w:rsid w:val="02E63B1D"/>
    <w:rsid w:val="032E0C10"/>
    <w:rsid w:val="059360C7"/>
    <w:rsid w:val="066641CF"/>
    <w:rsid w:val="069C1310"/>
    <w:rsid w:val="06AA6AC9"/>
    <w:rsid w:val="0ACD71B6"/>
    <w:rsid w:val="0AD135E8"/>
    <w:rsid w:val="0CCB1FB7"/>
    <w:rsid w:val="0FEF322C"/>
    <w:rsid w:val="16206669"/>
    <w:rsid w:val="163111E3"/>
    <w:rsid w:val="1AE856E5"/>
    <w:rsid w:val="1E7A343E"/>
    <w:rsid w:val="1F973CC1"/>
    <w:rsid w:val="21674AA0"/>
    <w:rsid w:val="233D1EA6"/>
    <w:rsid w:val="27644345"/>
    <w:rsid w:val="280322F4"/>
    <w:rsid w:val="2AD24686"/>
    <w:rsid w:val="2F600B03"/>
    <w:rsid w:val="2FB46435"/>
    <w:rsid w:val="2FBC0B88"/>
    <w:rsid w:val="2FFE39FB"/>
    <w:rsid w:val="31241129"/>
    <w:rsid w:val="36B61869"/>
    <w:rsid w:val="376933DE"/>
    <w:rsid w:val="38746E53"/>
    <w:rsid w:val="3AF937F6"/>
    <w:rsid w:val="3B183908"/>
    <w:rsid w:val="3B933930"/>
    <w:rsid w:val="3BE746F6"/>
    <w:rsid w:val="3E197D34"/>
    <w:rsid w:val="3E42791F"/>
    <w:rsid w:val="3F27550F"/>
    <w:rsid w:val="40015E8C"/>
    <w:rsid w:val="40103A98"/>
    <w:rsid w:val="430D5439"/>
    <w:rsid w:val="447106FF"/>
    <w:rsid w:val="46386C89"/>
    <w:rsid w:val="479D532C"/>
    <w:rsid w:val="48144366"/>
    <w:rsid w:val="487D786F"/>
    <w:rsid w:val="4A471DDA"/>
    <w:rsid w:val="4CBF4421"/>
    <w:rsid w:val="4F054DD1"/>
    <w:rsid w:val="52325FA3"/>
    <w:rsid w:val="541C372E"/>
    <w:rsid w:val="553257FC"/>
    <w:rsid w:val="564F54C8"/>
    <w:rsid w:val="56647F7A"/>
    <w:rsid w:val="589A3BD0"/>
    <w:rsid w:val="58DF51B1"/>
    <w:rsid w:val="5A0C5FF2"/>
    <w:rsid w:val="5B924C3B"/>
    <w:rsid w:val="5D33546D"/>
    <w:rsid w:val="5E366849"/>
    <w:rsid w:val="5FEF2EE0"/>
    <w:rsid w:val="600679C0"/>
    <w:rsid w:val="601B6D00"/>
    <w:rsid w:val="605A13DA"/>
    <w:rsid w:val="608079DF"/>
    <w:rsid w:val="63422AF8"/>
    <w:rsid w:val="65177332"/>
    <w:rsid w:val="6954706E"/>
    <w:rsid w:val="6A1747FC"/>
    <w:rsid w:val="6ABB69DF"/>
    <w:rsid w:val="6B8E5214"/>
    <w:rsid w:val="6BA52D52"/>
    <w:rsid w:val="6D1A6D7E"/>
    <w:rsid w:val="6EF22123"/>
    <w:rsid w:val="701F794D"/>
    <w:rsid w:val="71EA67C2"/>
    <w:rsid w:val="72CA214F"/>
    <w:rsid w:val="76D773C6"/>
    <w:rsid w:val="779B56A4"/>
    <w:rsid w:val="779F412C"/>
    <w:rsid w:val="799B09BA"/>
    <w:rsid w:val="7B086A6C"/>
    <w:rsid w:val="7EFE3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footer"/>
    <w:basedOn w:val="1"/>
    <w:next w:val="1"/>
    <w:link w:val="30"/>
    <w:qFormat/>
    <w:uiPriority w:val="99"/>
    <w:pPr>
      <w:tabs>
        <w:tab w:val="center" w:pos="4153"/>
        <w:tab w:val="right" w:pos="8306"/>
      </w:tabs>
      <w:snapToGrid w:val="0"/>
      <w:jc w:val="left"/>
    </w:pPr>
    <w:rPr>
      <w:sz w:val="18"/>
    </w:rPr>
  </w:style>
  <w:style w:type="paragraph" w:styleId="3">
    <w:name w:val="annotation text"/>
    <w:basedOn w:val="1"/>
    <w:link w:val="24"/>
    <w:qFormat/>
    <w:uiPriority w:val="0"/>
    <w:pPr>
      <w:jc w:val="left"/>
    </w:pPr>
  </w:style>
  <w:style w:type="paragraph" w:styleId="4">
    <w:name w:val="Body Text"/>
    <w:basedOn w:val="1"/>
    <w:next w:val="5"/>
    <w:qFormat/>
    <w:uiPriority w:val="99"/>
    <w:rPr>
      <w:sz w:val="30"/>
    </w:rPr>
  </w:style>
  <w:style w:type="paragraph" w:customStyle="1" w:styleId="5">
    <w:name w:val="一级条标题"/>
    <w:basedOn w:val="1"/>
    <w:next w:val="6"/>
    <w:qFormat/>
    <w:uiPriority w:val="99"/>
    <w:pPr>
      <w:widowControl/>
      <w:tabs>
        <w:tab w:val="left" w:pos="810"/>
        <w:tab w:val="left" w:pos="907"/>
        <w:tab w:val="left" w:pos="1265"/>
      </w:tabs>
    </w:pPr>
    <w:rPr>
      <w:color w:val="000000"/>
      <w:kern w:val="0"/>
      <w:szCs w:val="20"/>
    </w:rPr>
  </w:style>
  <w:style w:type="paragraph" w:customStyle="1" w:styleId="6">
    <w:name w:val="段"/>
    <w:next w:val="1"/>
    <w:qFormat/>
    <w:uiPriority w:val="0"/>
    <w:pPr>
      <w:widowControl w:val="0"/>
      <w:adjustRightInd w:val="0"/>
      <w:snapToGrid w:val="0"/>
      <w:spacing w:line="560" w:lineRule="exact"/>
      <w:ind w:firstLine="200" w:firstLineChars="200"/>
      <w:jc w:val="both"/>
    </w:pPr>
    <w:rPr>
      <w:rFonts w:ascii="Times New Roman" w:hAnsi="Times New Roman" w:eastAsia="华文仿宋" w:cs="宋体"/>
      <w:color w:val="000000"/>
      <w:sz w:val="32"/>
      <w:szCs w:val="21"/>
      <w:lang w:val="en-US" w:eastAsia="zh-CN" w:bidi="ar-SA"/>
    </w:rPr>
  </w:style>
  <w:style w:type="paragraph" w:styleId="7">
    <w:name w:val="Balloon Text"/>
    <w:basedOn w:val="1"/>
    <w:link w:val="27"/>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spacing w:before="100" w:beforeAutospacing="1" w:after="100" w:afterAutospacing="1"/>
      <w:jc w:val="left"/>
    </w:pPr>
    <w:rPr>
      <w:kern w:val="0"/>
      <w:sz w:val="24"/>
    </w:rPr>
  </w:style>
  <w:style w:type="paragraph" w:styleId="12">
    <w:name w:val="annotation subject"/>
    <w:basedOn w:val="3"/>
    <w:next w:val="3"/>
    <w:link w:val="25"/>
    <w:qFormat/>
    <w:uiPriority w:val="0"/>
    <w:rPr>
      <w:b/>
      <w:bCs/>
    </w:rPr>
  </w:style>
  <w:style w:type="character" w:styleId="15">
    <w:name w:val="Strong"/>
    <w:basedOn w:val="14"/>
    <w:qFormat/>
    <w:uiPriority w:val="0"/>
    <w:rPr>
      <w:b/>
    </w:rPr>
  </w:style>
  <w:style w:type="character" w:styleId="16">
    <w:name w:val="page number"/>
    <w:basedOn w:val="14"/>
    <w:qFormat/>
    <w:uiPriority w:val="0"/>
  </w:style>
  <w:style w:type="character" w:styleId="17">
    <w:name w:val="Emphasis"/>
    <w:basedOn w:val="14"/>
    <w:qFormat/>
    <w:uiPriority w:val="20"/>
    <w:rPr>
      <w:i/>
      <w:iCs/>
    </w:rPr>
  </w:style>
  <w:style w:type="character" w:styleId="18">
    <w:name w:val="Hyperlink"/>
    <w:basedOn w:val="14"/>
    <w:qFormat/>
    <w:uiPriority w:val="99"/>
    <w:rPr>
      <w:color w:val="0563C1" w:themeColor="hyperlink"/>
      <w:u w:val="single"/>
      <w14:textFill>
        <w14:solidFill>
          <w14:schemeClr w14:val="hlink"/>
        </w14:solidFill>
      </w14:textFill>
    </w:rPr>
  </w:style>
  <w:style w:type="character" w:styleId="19">
    <w:name w:val="annotation reference"/>
    <w:basedOn w:val="14"/>
    <w:qFormat/>
    <w:uiPriority w:val="0"/>
    <w:rPr>
      <w:sz w:val="21"/>
      <w:szCs w:val="21"/>
    </w:rPr>
  </w:style>
  <w:style w:type="character" w:customStyle="1" w:styleId="20">
    <w:name w:val="font31"/>
    <w:qFormat/>
    <w:uiPriority w:val="0"/>
    <w:rPr>
      <w:rFonts w:hint="eastAsia" w:ascii="宋体" w:hAnsi="宋体" w:eastAsia="宋体" w:cs="宋体"/>
      <w:color w:val="FF0000"/>
      <w:sz w:val="21"/>
      <w:szCs w:val="21"/>
      <w:u w:val="none"/>
    </w:rPr>
  </w:style>
  <w:style w:type="character" w:customStyle="1" w:styleId="21">
    <w:name w:val="font21"/>
    <w:qFormat/>
    <w:uiPriority w:val="0"/>
    <w:rPr>
      <w:rFonts w:hint="default" w:ascii="Times New Roman" w:hAnsi="Times New Roman" w:cs="Times New Roman"/>
      <w:color w:val="000000"/>
      <w:sz w:val="21"/>
      <w:szCs w:val="21"/>
      <w:u w:val="none"/>
    </w:rPr>
  </w:style>
  <w:style w:type="character" w:customStyle="1" w:styleId="22">
    <w:name w:val="font71"/>
    <w:qFormat/>
    <w:uiPriority w:val="0"/>
    <w:rPr>
      <w:rFonts w:ascii="方正仿宋_GBK" w:hAnsi="方正仿宋_GBK" w:eastAsia="方正仿宋_GBK" w:cs="方正仿宋_GBK"/>
      <w:color w:val="000000"/>
      <w:sz w:val="21"/>
      <w:szCs w:val="21"/>
      <w:u w:val="none"/>
    </w:rPr>
  </w:style>
  <w:style w:type="character" w:customStyle="1" w:styleId="23">
    <w:name w:val="fontstyle21"/>
    <w:qFormat/>
    <w:uiPriority w:val="0"/>
    <w:rPr>
      <w:rFonts w:hint="eastAsia" w:ascii="仿宋" w:hAnsi="仿宋" w:eastAsia="仿宋"/>
      <w:color w:val="000000"/>
      <w:sz w:val="30"/>
      <w:szCs w:val="30"/>
    </w:rPr>
  </w:style>
  <w:style w:type="character" w:customStyle="1" w:styleId="24">
    <w:name w:val="批注文字 字符"/>
    <w:basedOn w:val="14"/>
    <w:link w:val="3"/>
    <w:qFormat/>
    <w:uiPriority w:val="0"/>
    <w:rPr>
      <w:kern w:val="2"/>
      <w:sz w:val="21"/>
      <w:szCs w:val="24"/>
    </w:rPr>
  </w:style>
  <w:style w:type="character" w:customStyle="1" w:styleId="25">
    <w:name w:val="批注主题 字符"/>
    <w:basedOn w:val="24"/>
    <w:link w:val="12"/>
    <w:qFormat/>
    <w:uiPriority w:val="0"/>
    <w:rPr>
      <w:b/>
      <w:bCs/>
      <w:kern w:val="2"/>
      <w:sz w:val="21"/>
      <w:szCs w:val="24"/>
    </w:rPr>
  </w:style>
  <w:style w:type="character" w:customStyle="1" w:styleId="26">
    <w:name w:val="未处理的提及1"/>
    <w:basedOn w:val="14"/>
    <w:semiHidden/>
    <w:unhideWhenUsed/>
    <w:qFormat/>
    <w:uiPriority w:val="99"/>
    <w:rPr>
      <w:color w:val="605E5C"/>
      <w:shd w:val="clear" w:color="auto" w:fill="E1DFDD"/>
    </w:rPr>
  </w:style>
  <w:style w:type="character" w:customStyle="1" w:styleId="27">
    <w:name w:val="批注框文本 字符"/>
    <w:basedOn w:val="14"/>
    <w:link w:val="7"/>
    <w:qFormat/>
    <w:uiPriority w:val="0"/>
    <w:rPr>
      <w:kern w:val="2"/>
      <w:sz w:val="18"/>
      <w:szCs w:val="18"/>
    </w:rPr>
  </w:style>
  <w:style w:type="character" w:customStyle="1" w:styleId="28">
    <w:name w:val="正文文本_"/>
    <w:basedOn w:val="14"/>
    <w:link w:val="29"/>
    <w:qFormat/>
    <w:uiPriority w:val="0"/>
    <w:rPr>
      <w:rFonts w:ascii="宋体" w:hAnsi="宋体" w:cs="宋体"/>
      <w:sz w:val="30"/>
      <w:szCs w:val="30"/>
    </w:rPr>
  </w:style>
  <w:style w:type="paragraph" w:customStyle="1" w:styleId="29">
    <w:name w:val="正文文本1"/>
    <w:basedOn w:val="1"/>
    <w:link w:val="28"/>
    <w:qFormat/>
    <w:uiPriority w:val="0"/>
    <w:pPr>
      <w:spacing w:line="437" w:lineRule="auto"/>
      <w:ind w:firstLine="400"/>
      <w:jc w:val="left"/>
    </w:pPr>
    <w:rPr>
      <w:rFonts w:ascii="宋体" w:hAnsi="宋体" w:cs="宋体"/>
      <w:kern w:val="0"/>
      <w:sz w:val="30"/>
      <w:szCs w:val="30"/>
    </w:rPr>
  </w:style>
  <w:style w:type="character" w:customStyle="1" w:styleId="30">
    <w:name w:val="页脚 字符"/>
    <w:link w:val="2"/>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FBFB7-C363-41D5-89E9-BA6BFEEFB332}">
  <ds:schemaRefs/>
</ds:datastoreItem>
</file>

<file path=docProps/app.xml><?xml version="1.0" encoding="utf-8"?>
<Properties xmlns="http://schemas.openxmlformats.org/officeDocument/2006/extended-properties" xmlns:vt="http://schemas.openxmlformats.org/officeDocument/2006/docPropsVTypes">
  <Template>Normal</Template>
  <Pages>42</Pages>
  <Words>21821</Words>
  <Characters>22424</Characters>
  <Lines>171</Lines>
  <Paragraphs>48</Paragraphs>
  <TotalTime>2</TotalTime>
  <ScaleCrop>false</ScaleCrop>
  <LinksUpToDate>false</LinksUpToDate>
  <CharactersWithSpaces>22471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2023-06-16T07:29:00Z</dcterms:created>
  <dc:creator>了3了</dc:creator>
  <cp:lastModifiedBy>张子瑞</cp:lastModifiedBy>
  <cp:lastPrinted>2023-06-07T03:14:00Z</cp:lastPrinted>
  <dcterms:modified xsi:type="dcterms:W3CDTF">2023-06-24T07:31:40Z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FED56E8C007D47A5BB514DC2EC4A89C6_13</vt:lpwstr>
  </property>
</Properties>
</file>