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hint="eastAsia" w:ascii="Times New Roman" w:eastAsia="方正小标宋简体"/>
          <w:sz w:val="44"/>
          <w:szCs w:val="48"/>
        </w:rPr>
      </w:pPr>
      <w:r>
        <w:rPr>
          <w:rFonts w:ascii="Times New Roman" w:eastAsia="方正小标宋简体"/>
          <w:sz w:val="44"/>
          <w:szCs w:val="48"/>
        </w:rPr>
        <w:t>太仓市“十四五”人力资源和社会保障</w:t>
      </w:r>
    </w:p>
    <w:p>
      <w:pPr>
        <w:spacing w:line="560" w:lineRule="exact"/>
        <w:ind w:firstLine="0"/>
        <w:jc w:val="center"/>
        <w:rPr>
          <w:rFonts w:ascii="Times New Roman" w:eastAsia="方正小标宋简体"/>
          <w:sz w:val="44"/>
          <w:szCs w:val="48"/>
        </w:rPr>
      </w:pPr>
      <w:r>
        <w:rPr>
          <w:rFonts w:ascii="Times New Roman" w:eastAsia="方正小标宋简体"/>
          <w:sz w:val="44"/>
          <w:szCs w:val="48"/>
        </w:rPr>
        <w:t>事业发展规划</w:t>
      </w:r>
    </w:p>
    <w:p>
      <w:pPr>
        <w:snapToGrid/>
        <w:spacing w:line="590" w:lineRule="exact"/>
        <w:ind w:firstLine="560" w:firstLineChars="200"/>
        <w:rPr>
          <w:rFonts w:ascii="Times New Roman" w:eastAsia="仿宋_GB2312"/>
          <w:snapToGrid/>
          <w:sz w:val="28"/>
          <w:szCs w:val="32"/>
          <w:lang w:val="zh-CN" w:bidi="zh-CN"/>
        </w:rPr>
      </w:pP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“十四五”时期，是“两个一百年”奋斗目标的历史交汇期，是</w:t>
      </w:r>
      <w:r>
        <w:rPr>
          <w:rFonts w:ascii="Times New Roman" w:eastAsia="仿宋_GB2312"/>
          <w:snapToGrid/>
          <w:szCs w:val="32"/>
          <w:lang w:bidi="zh-CN"/>
        </w:rPr>
        <w:t>激情</w:t>
      </w:r>
      <w:r>
        <w:rPr>
          <w:rFonts w:ascii="Times New Roman" w:eastAsia="仿宋_GB2312"/>
          <w:snapToGrid/>
          <w:szCs w:val="32"/>
          <w:lang w:val="zh-CN" w:bidi="zh-CN"/>
        </w:rPr>
        <w:t>谱写社会主义现代化建设太仓精彩篇章的关键期，也是持续推动我市人力资源和社会保障事业高质量发展的重要阶段。根据《</w:t>
      </w:r>
      <w:r>
        <w:rPr>
          <w:rFonts w:ascii="Times New Roman" w:eastAsia="仿宋_GB2312"/>
          <w:snapToGrid/>
          <w:szCs w:val="32"/>
          <w:lang w:bidi="zh-CN"/>
        </w:rPr>
        <w:t>太仓</w:t>
      </w:r>
      <w:r>
        <w:rPr>
          <w:rFonts w:ascii="Times New Roman" w:eastAsia="仿宋_GB2312"/>
          <w:snapToGrid/>
          <w:szCs w:val="32"/>
          <w:lang w:val="zh-CN" w:bidi="zh-CN"/>
        </w:rPr>
        <w:t>市国民经济和社会发展第十四个五年规划和二</w:t>
      </w:r>
      <w:r>
        <w:rPr>
          <w:rFonts w:ascii="Times New Roman" w:eastAsia="微软雅黑"/>
          <w:snapToGrid/>
          <w:szCs w:val="32"/>
          <w:lang w:val="zh-CN" w:bidi="zh-CN"/>
        </w:rPr>
        <w:t>〇</w:t>
      </w:r>
      <w:r>
        <w:rPr>
          <w:rFonts w:ascii="Times New Roman" w:eastAsia="仿宋_GB2312"/>
          <w:snapToGrid/>
          <w:szCs w:val="32"/>
          <w:lang w:val="zh-CN" w:bidi="zh-CN"/>
        </w:rPr>
        <w:t>三五年远景目标纲要》和《</w:t>
      </w:r>
      <w:r>
        <w:rPr>
          <w:rFonts w:ascii="Times New Roman" w:eastAsia="仿宋_GB2312"/>
          <w:snapToGrid/>
          <w:szCs w:val="32"/>
          <w:lang w:bidi="zh-CN"/>
        </w:rPr>
        <w:t>苏州市</w:t>
      </w:r>
      <w:r>
        <w:rPr>
          <w:rFonts w:ascii="Times New Roman" w:eastAsia="仿宋_GB2312"/>
          <w:snapToGrid/>
          <w:szCs w:val="32"/>
          <w:lang w:val="zh-CN" w:bidi="zh-CN"/>
        </w:rPr>
        <w:t>人力资源和社会保障</w:t>
      </w:r>
      <w:r>
        <w:rPr>
          <w:rFonts w:ascii="Times New Roman" w:eastAsia="仿宋_GB2312"/>
          <w:snapToGrid/>
          <w:szCs w:val="32"/>
          <w:lang w:bidi="zh-CN"/>
        </w:rPr>
        <w:t>事业发展</w:t>
      </w:r>
      <w:r>
        <w:rPr>
          <w:rFonts w:ascii="Times New Roman" w:eastAsia="仿宋_GB2312"/>
          <w:snapToGrid/>
          <w:szCs w:val="32"/>
          <w:lang w:val="zh-CN" w:bidi="zh-CN"/>
        </w:rPr>
        <w:t>“十四五”规划》相关安排，结合</w:t>
      </w:r>
      <w:r>
        <w:rPr>
          <w:rFonts w:ascii="Times New Roman" w:eastAsia="仿宋_GB2312"/>
          <w:snapToGrid/>
          <w:szCs w:val="32"/>
          <w:lang w:bidi="zh-CN"/>
        </w:rPr>
        <w:t>太仓</w:t>
      </w:r>
      <w:r>
        <w:rPr>
          <w:rFonts w:ascii="Times New Roman" w:eastAsia="仿宋_GB2312"/>
          <w:snapToGrid/>
          <w:szCs w:val="32"/>
          <w:lang w:val="zh-CN" w:bidi="zh-CN"/>
        </w:rPr>
        <w:t>市第</w:t>
      </w:r>
      <w:r>
        <w:rPr>
          <w:rFonts w:ascii="Times New Roman" w:eastAsia="仿宋_GB2312"/>
          <w:snapToGrid/>
          <w:szCs w:val="32"/>
          <w:lang w:bidi="zh-CN"/>
        </w:rPr>
        <w:t>十四</w:t>
      </w:r>
      <w:r>
        <w:rPr>
          <w:rFonts w:ascii="Times New Roman" w:eastAsia="仿宋_GB2312"/>
          <w:snapToGrid/>
          <w:szCs w:val="32"/>
          <w:lang w:val="zh-CN" w:bidi="zh-CN"/>
        </w:rPr>
        <w:t>次党代会决策部署，编制本规划。本规划主要阐明“十四五”时期</w:t>
      </w:r>
      <w:r>
        <w:rPr>
          <w:rFonts w:ascii="Times New Roman" w:eastAsia="仿宋_GB2312"/>
          <w:snapToGrid/>
          <w:szCs w:val="32"/>
          <w:lang w:bidi="zh-CN"/>
        </w:rPr>
        <w:t>太仓</w:t>
      </w:r>
      <w:r>
        <w:rPr>
          <w:rFonts w:ascii="Times New Roman" w:eastAsia="仿宋_GB2312"/>
          <w:snapToGrid/>
          <w:szCs w:val="32"/>
          <w:lang w:val="zh-CN" w:bidi="zh-CN"/>
        </w:rPr>
        <w:t>市人力资源和社会保障事业的发展目标、主要任务和重大政策措施，是未来五年全市人力资源和社会保障事业高质量发展的指导性文件。</w:t>
      </w:r>
    </w:p>
    <w:p>
      <w:pPr>
        <w:snapToGrid/>
        <w:spacing w:line="590" w:lineRule="exact"/>
        <w:ind w:firstLine="640" w:firstLineChars="200"/>
        <w:rPr>
          <w:rFonts w:ascii="Times New Roman" w:eastAsia="黑体"/>
          <w:snapToGrid/>
          <w:szCs w:val="32"/>
          <w:lang w:val="zh-CN" w:bidi="zh-CN"/>
        </w:rPr>
      </w:pPr>
      <w:r>
        <w:rPr>
          <w:rFonts w:ascii="Times New Roman" w:eastAsia="黑体"/>
          <w:snapToGrid/>
          <w:szCs w:val="32"/>
          <w:lang w:val="zh-CN" w:bidi="zh-CN"/>
        </w:rPr>
        <w:t>一、发展基础和面临形势</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（一）发展基础。</w:t>
      </w:r>
      <w:r>
        <w:rPr>
          <w:rFonts w:ascii="Times New Roman" w:eastAsia="仿宋_GB2312"/>
          <w:snapToGrid/>
          <w:szCs w:val="32"/>
          <w:lang w:val="zh-CN" w:bidi="zh-CN"/>
        </w:rPr>
        <w:t>“十三五”时期，是我市人力资源社会保障事业迈出坚实步伐、进入高质量发展阶段的五年。五年来，面对复杂多变的宏观环境、艰巨繁重的改革发展任务和突如其来的新冠肺炎疫情，全市人力资源和社会保障系统坚持以习近平新时代中国特色社会主义思想为指导，坚决贯彻市委市政府决策部署，锚定建设“民生幸福首善区”工作目标，全面超额完成“十三五”</w:t>
      </w:r>
      <w:r>
        <w:rPr>
          <w:rFonts w:ascii="Times New Roman" w:eastAsia="仿宋_GB2312"/>
          <w:snapToGrid/>
          <w:szCs w:val="32"/>
          <w:lang w:bidi="zh-CN"/>
        </w:rPr>
        <w:t>规</w:t>
      </w:r>
      <w:r>
        <w:rPr>
          <w:rFonts w:ascii="Times New Roman" w:eastAsia="仿宋_GB2312"/>
          <w:snapToGrid/>
          <w:szCs w:val="32"/>
          <w:lang w:val="zh-CN" w:bidi="zh-CN"/>
        </w:rPr>
        <w:t>划确定的各项目标任务，为推动</w:t>
      </w:r>
      <w:r>
        <w:rPr>
          <w:rFonts w:ascii="Times New Roman" w:eastAsia="仿宋_GB2312"/>
          <w:snapToGrid/>
          <w:szCs w:val="32"/>
          <w:lang w:bidi="zh-CN"/>
        </w:rPr>
        <w:t>太仓</w:t>
      </w:r>
      <w:r>
        <w:rPr>
          <w:rFonts w:ascii="Times New Roman" w:eastAsia="仿宋_GB2312"/>
          <w:snapToGrid/>
          <w:szCs w:val="32"/>
          <w:lang w:val="zh-CN" w:bidi="zh-CN"/>
        </w:rPr>
        <w:t>经济社会发展作出了积极贡献，为“十四五”时期发展奠定了坚实的基础。</w:t>
      </w:r>
      <w:r>
        <w:rPr>
          <w:rFonts w:ascii="Times New Roman" w:eastAsia="仿宋_GB2312"/>
          <w:snapToGrid/>
          <w:szCs w:val="32"/>
          <w:lang w:bidi="zh-CN"/>
        </w:rPr>
        <w:t>太仓市获评省政府表彰的“促进就业创业工作完成较好的县（市）”，落实鼓励和支持就业政策措施工作</w:t>
      </w:r>
      <w:r>
        <w:rPr>
          <w:rFonts w:ascii="Times New Roman" w:eastAsia="仿宋_GB2312"/>
          <w:snapToGrid/>
          <w:szCs w:val="32"/>
          <w:lang w:val="zh-CN" w:bidi="zh-CN"/>
        </w:rPr>
        <w:t>受到省政府督查激励。</w:t>
      </w:r>
      <w:r>
        <w:rPr>
          <w:rFonts w:ascii="Times New Roman" w:eastAsia="仿宋_GB2312"/>
          <w:snapToGrid/>
          <w:szCs w:val="32"/>
          <w:lang w:bidi="zh-CN"/>
        </w:rPr>
        <w:t>市人社局</w:t>
      </w:r>
      <w:r>
        <w:rPr>
          <w:rFonts w:ascii="Times New Roman" w:eastAsia="仿宋_GB2312"/>
          <w:snapToGrid/>
          <w:szCs w:val="32"/>
          <w:lang w:val="zh-CN" w:bidi="zh-CN"/>
        </w:rPr>
        <w:t>获评“全省人力资源和社会保障系统先进集体”，</w:t>
      </w:r>
      <w:r>
        <w:rPr>
          <w:rFonts w:ascii="Times New Roman" w:eastAsia="仿宋_GB2312"/>
          <w:snapToGrid/>
          <w:szCs w:val="32"/>
          <w:lang w:bidi="zh-CN"/>
        </w:rPr>
        <w:t>连续5年被人社部办公厅评为“《中国劳动保障报》新闻宣传工作做得好的单位”</w:t>
      </w:r>
      <w:r>
        <w:rPr>
          <w:rFonts w:ascii="Times New Roman" w:eastAsia="仿宋_GB2312"/>
          <w:snapToGrid/>
          <w:szCs w:val="32"/>
          <w:lang w:val="zh-CN" w:bidi="zh-CN"/>
        </w:rPr>
        <w:t>。</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抓用工促就业</w:t>
      </w:r>
      <w:r>
        <w:rPr>
          <w:rFonts w:ascii="Times New Roman" w:eastAsia="仿宋_GB2312"/>
          <w:snapToGrid/>
          <w:szCs w:val="32"/>
          <w:lang w:bidi="zh-CN"/>
        </w:rPr>
        <w:t>呈现积极态势。</w:t>
      </w:r>
      <w:r>
        <w:rPr>
          <w:rFonts w:ascii="Times New Roman" w:eastAsia="仿宋_GB2312"/>
          <w:snapToGrid/>
          <w:szCs w:val="32"/>
          <w:lang w:val="zh-CN" w:bidi="zh-CN"/>
        </w:rPr>
        <w:t>就业规模持续放大，累计实现城镇新增就业</w:t>
      </w:r>
      <w:r>
        <w:rPr>
          <w:rFonts w:ascii="Times New Roman" w:eastAsia="仿宋_GB2312"/>
          <w:snapToGrid/>
          <w:szCs w:val="32"/>
          <w:lang w:bidi="zh-CN"/>
        </w:rPr>
        <w:t>5.75</w:t>
      </w:r>
      <w:r>
        <w:rPr>
          <w:rFonts w:ascii="Times New Roman" w:eastAsia="仿宋_GB2312"/>
          <w:snapToGrid/>
          <w:szCs w:val="32"/>
          <w:lang w:val="zh-CN" w:bidi="zh-CN"/>
        </w:rPr>
        <w:t>万人，城镇登记失业率保持在</w:t>
      </w:r>
      <w:r>
        <w:rPr>
          <w:rFonts w:ascii="Times New Roman" w:eastAsia="仿宋_GB2312"/>
          <w:snapToGrid/>
          <w:szCs w:val="32"/>
          <w:lang w:bidi="zh-CN"/>
        </w:rPr>
        <w:t>2%以内，</w:t>
      </w:r>
      <w:r>
        <w:rPr>
          <w:rFonts w:ascii="Times New Roman" w:eastAsia="仿宋_GB2312"/>
          <w:snapToGrid/>
          <w:szCs w:val="32"/>
          <w:lang w:val="zh-CN" w:bidi="zh-CN"/>
        </w:rPr>
        <w:t>2020年末全市用工备案人数达</w:t>
      </w:r>
      <w:r>
        <w:rPr>
          <w:rFonts w:ascii="Times New Roman" w:eastAsia="仿宋_GB2312"/>
          <w:snapToGrid/>
          <w:szCs w:val="32"/>
          <w:lang w:bidi="zh-CN"/>
        </w:rPr>
        <w:t>30.88</w:t>
      </w:r>
      <w:r>
        <w:rPr>
          <w:rFonts w:ascii="Times New Roman" w:eastAsia="仿宋_GB2312"/>
          <w:snapToGrid/>
          <w:szCs w:val="32"/>
          <w:lang w:val="zh-CN" w:bidi="zh-CN"/>
        </w:rPr>
        <w:t>万人，创历史新高。重点群体就业帮扶精准高效，</w:t>
      </w:r>
      <w:r>
        <w:rPr>
          <w:rFonts w:ascii="Times New Roman" w:eastAsia="仿宋_GB2312"/>
          <w:snapToGrid/>
          <w:szCs w:val="32"/>
          <w:lang w:bidi="zh-CN"/>
        </w:rPr>
        <w:t>太仓</w:t>
      </w:r>
      <w:r>
        <w:rPr>
          <w:rFonts w:ascii="Times New Roman" w:eastAsia="仿宋_GB2312"/>
          <w:snapToGrid/>
          <w:szCs w:val="32"/>
          <w:lang w:val="zh-CN" w:bidi="zh-CN"/>
        </w:rPr>
        <w:t>籍高校毕业生就业率保持在</w:t>
      </w:r>
      <w:r>
        <w:rPr>
          <w:rFonts w:ascii="Times New Roman" w:eastAsia="仿宋_GB2312"/>
          <w:snapToGrid/>
          <w:szCs w:val="32"/>
          <w:lang w:bidi="zh-CN"/>
        </w:rPr>
        <w:t>95%以上</w:t>
      </w:r>
      <w:r>
        <w:rPr>
          <w:rFonts w:ascii="Times New Roman" w:eastAsia="仿宋_GB2312"/>
          <w:snapToGrid/>
          <w:szCs w:val="32"/>
          <w:lang w:val="zh-CN" w:bidi="zh-CN"/>
        </w:rPr>
        <w:t>。创业带动就业倍增效应不断增强，富民创业担保贷款政策持续优化，累计发放贷款</w:t>
      </w:r>
      <w:r>
        <w:rPr>
          <w:rFonts w:ascii="Times New Roman" w:eastAsia="仿宋_GB2312"/>
          <w:snapToGrid/>
          <w:szCs w:val="32"/>
          <w:lang w:bidi="zh-CN"/>
        </w:rPr>
        <w:t>2435万</w:t>
      </w:r>
      <w:r>
        <w:rPr>
          <w:rFonts w:ascii="Times New Roman" w:eastAsia="仿宋_GB2312"/>
          <w:snapToGrid/>
          <w:szCs w:val="32"/>
          <w:lang w:val="zh-CN" w:bidi="zh-CN"/>
        </w:rPr>
        <w:t>元。成功应对新冠肺炎疫情冲击，稳岗返还、以工代训等政策加快实施，重点企业专员服务和农民工复工返岗“点对点”保障机制有效实施，推动纾困资金直达企业，共发放企业稳岗返还</w:t>
      </w:r>
      <w:r>
        <w:rPr>
          <w:rFonts w:ascii="Times New Roman" w:eastAsia="仿宋_GB2312"/>
          <w:snapToGrid/>
          <w:szCs w:val="32"/>
          <w:lang w:bidi="zh-CN"/>
        </w:rPr>
        <w:t>2.05</w:t>
      </w:r>
      <w:r>
        <w:rPr>
          <w:rFonts w:ascii="Times New Roman" w:eastAsia="仿宋_GB2312"/>
          <w:snapToGrid/>
          <w:szCs w:val="32"/>
          <w:lang w:val="zh-CN" w:bidi="zh-CN"/>
        </w:rPr>
        <w:t>亿元，为6.36万职工提供免费“防疫”</w:t>
      </w:r>
      <w:r>
        <w:rPr>
          <w:rFonts w:ascii="Times New Roman" w:eastAsia="仿宋_GB2312"/>
          <w:snapToGrid/>
          <w:szCs w:val="32"/>
          <w:lang w:bidi="zh-CN"/>
        </w:rPr>
        <w:t>项目制</w:t>
      </w:r>
      <w:r>
        <w:rPr>
          <w:rFonts w:ascii="Times New Roman" w:eastAsia="仿宋_GB2312"/>
          <w:snapToGrid/>
          <w:szCs w:val="32"/>
          <w:lang w:val="zh-CN" w:bidi="zh-CN"/>
        </w:rPr>
        <w:t>培训，交出了应对大战大考的优异答卷。</w:t>
      </w:r>
    </w:p>
    <w:p>
      <w:pPr>
        <w:snapToGrid/>
        <w:spacing w:line="590" w:lineRule="exact"/>
        <w:ind w:firstLine="640" w:firstLineChars="200"/>
        <w:rPr>
          <w:rFonts w:ascii="Times New Roman" w:eastAsia="仿宋_GB2312"/>
          <w:snapToGrid/>
          <w:szCs w:val="32"/>
          <w:highlight w:val="yellow"/>
          <w:lang w:val="zh-CN" w:bidi="zh-CN"/>
        </w:rPr>
      </w:pPr>
      <w:r>
        <w:rPr>
          <w:rFonts w:ascii="Times New Roman" w:eastAsia="仿宋_GB2312"/>
          <w:snapToGrid/>
          <w:szCs w:val="32"/>
          <w:lang w:val="zh-CN" w:bidi="zh-CN"/>
        </w:rPr>
        <w:t>抓民生强社保迈出坚实步伐。社会保险省级、市级统筹稳步推进，城乡一体的社保制度不断完善，全民参保计划全面实施，2020年末全市企业养老、失业、工伤保险参保人数分别达到</w:t>
      </w:r>
      <w:r>
        <w:rPr>
          <w:rFonts w:ascii="Times New Roman" w:eastAsia="仿宋_GB2312"/>
          <w:snapToGrid/>
          <w:szCs w:val="32"/>
          <w:lang w:bidi="zh-CN"/>
        </w:rPr>
        <w:t>35.78</w:t>
      </w:r>
      <w:r>
        <w:rPr>
          <w:rFonts w:ascii="Times New Roman" w:eastAsia="仿宋_GB2312"/>
          <w:snapToGrid/>
          <w:szCs w:val="32"/>
          <w:lang w:val="zh-CN" w:bidi="zh-CN"/>
        </w:rPr>
        <w:t>万人、</w:t>
      </w:r>
      <w:r>
        <w:rPr>
          <w:rFonts w:ascii="Times New Roman" w:eastAsia="仿宋_GB2312"/>
          <w:snapToGrid/>
          <w:szCs w:val="32"/>
          <w:lang w:bidi="zh-CN"/>
        </w:rPr>
        <w:t>32.37</w:t>
      </w:r>
      <w:r>
        <w:rPr>
          <w:rFonts w:ascii="Times New Roman" w:eastAsia="仿宋_GB2312"/>
          <w:snapToGrid/>
          <w:szCs w:val="32"/>
          <w:lang w:val="zh-CN" w:bidi="zh-CN"/>
        </w:rPr>
        <w:t>万人、</w:t>
      </w:r>
      <w:r>
        <w:rPr>
          <w:rFonts w:ascii="Times New Roman" w:eastAsia="仿宋_GB2312"/>
          <w:snapToGrid/>
          <w:szCs w:val="32"/>
          <w:lang w:bidi="zh-CN"/>
        </w:rPr>
        <w:t>32.85</w:t>
      </w:r>
      <w:r>
        <w:rPr>
          <w:rFonts w:ascii="Times New Roman" w:eastAsia="仿宋_GB2312"/>
          <w:snapToGrid/>
          <w:szCs w:val="32"/>
          <w:lang w:val="zh-CN" w:bidi="zh-CN"/>
        </w:rPr>
        <w:t>万人。城乡居民基础养老金标准</w:t>
      </w:r>
      <w:r>
        <w:rPr>
          <w:rFonts w:ascii="Times New Roman" w:eastAsia="仿宋_GB2312"/>
          <w:snapToGrid/>
          <w:szCs w:val="32"/>
          <w:lang w:bidi="zh-CN"/>
        </w:rPr>
        <w:t>五</w:t>
      </w:r>
      <w:r>
        <w:rPr>
          <w:rFonts w:ascii="Times New Roman" w:eastAsia="仿宋_GB2312"/>
          <w:snapToGrid/>
          <w:szCs w:val="32"/>
          <w:lang w:val="zh-CN" w:bidi="zh-CN"/>
        </w:rPr>
        <w:t>连调，被征地农民养老补助金标准提高近</w:t>
      </w:r>
      <w:r>
        <w:rPr>
          <w:rFonts w:ascii="Times New Roman" w:eastAsia="仿宋_GB2312"/>
          <w:snapToGrid/>
          <w:szCs w:val="32"/>
          <w:lang w:bidi="zh-CN"/>
        </w:rPr>
        <w:t>42%</w:t>
      </w:r>
      <w:r>
        <w:rPr>
          <w:rFonts w:ascii="Times New Roman" w:eastAsia="仿宋_GB2312"/>
          <w:snapToGrid/>
          <w:szCs w:val="32"/>
          <w:lang w:val="zh-CN" w:bidi="zh-CN"/>
        </w:rPr>
        <w:t>。强化基金监督和风险防控，基金抗风险能力显著增强。积极落实社会保险费“减免缓”政策，2020年累计减免三项社会保险费</w:t>
      </w:r>
      <w:r>
        <w:rPr>
          <w:rFonts w:ascii="Times New Roman" w:eastAsia="仿宋_GB2312"/>
          <w:snapToGrid/>
          <w:szCs w:val="32"/>
          <w:lang w:bidi="zh-CN"/>
        </w:rPr>
        <w:t>20.81</w:t>
      </w:r>
      <w:r>
        <w:rPr>
          <w:rFonts w:ascii="Times New Roman" w:eastAsia="仿宋_GB2312"/>
          <w:snapToGrid/>
          <w:szCs w:val="32"/>
          <w:lang w:val="zh-CN" w:bidi="zh-CN"/>
        </w:rPr>
        <w:t>亿元。</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抓品牌育人才释放澎湃动能。人才体制机制改革和政策创新加速推进，人才引智平台载体建设不断加强，精英周</w:t>
      </w:r>
      <w:r>
        <w:rPr>
          <w:rFonts w:ascii="Times New Roman" w:eastAsia="仿宋_GB2312"/>
          <w:snapToGrid/>
          <w:szCs w:val="32"/>
          <w:lang w:bidi="zh-CN"/>
        </w:rPr>
        <w:t>太仓分会场</w:t>
      </w:r>
      <w:r>
        <w:rPr>
          <w:rFonts w:ascii="Times New Roman" w:eastAsia="仿宋_GB2312"/>
          <w:snapToGrid/>
          <w:szCs w:val="32"/>
          <w:lang w:val="zh-CN" w:bidi="zh-CN"/>
        </w:rPr>
        <w:t>、“创赢</w:t>
      </w:r>
      <w:r>
        <w:rPr>
          <w:rFonts w:ascii="Times New Roman" w:eastAsia="仿宋_GB2312"/>
          <w:snapToGrid/>
          <w:szCs w:val="32"/>
          <w:lang w:bidi="zh-CN"/>
        </w:rPr>
        <w:t>太仓”全球创业大赛、“校园日”活动</w:t>
      </w:r>
      <w:r>
        <w:rPr>
          <w:rFonts w:ascii="Times New Roman" w:eastAsia="仿宋_GB2312"/>
          <w:snapToGrid/>
          <w:szCs w:val="32"/>
          <w:lang w:val="zh-CN" w:bidi="zh-CN"/>
        </w:rPr>
        <w:t>等招才引智矩阵能级持续放大。</w:t>
      </w:r>
      <w:r>
        <w:rPr>
          <w:rFonts w:ascii="Times New Roman" w:eastAsia="仿宋_GB2312"/>
          <w:snapToGrid/>
          <w:szCs w:val="32"/>
          <w:lang w:bidi="zh-CN"/>
        </w:rPr>
        <w:t>全国</w:t>
      </w:r>
      <w:r>
        <w:rPr>
          <w:rFonts w:ascii="Times New Roman" w:eastAsia="仿宋_GB2312"/>
          <w:snapToGrid/>
          <w:szCs w:val="32"/>
          <w:lang w:val="zh-CN" w:bidi="zh-CN"/>
        </w:rPr>
        <w:t>率先开展德系职业资格比照认定，全国首个中英版专业技术资格标准在太仓落地。扎实推进职业技能提升行动，</w:t>
      </w:r>
      <w:r>
        <w:rPr>
          <w:rFonts w:ascii="Times New Roman" w:eastAsia="仿宋_GB2312"/>
          <w:snapToGrid/>
          <w:szCs w:val="32"/>
          <w:lang w:bidi="zh-CN"/>
        </w:rPr>
        <w:t>高水准举办</w:t>
      </w:r>
      <w:r>
        <w:rPr>
          <w:rFonts w:ascii="Times New Roman" w:eastAsia="仿宋_GB2312"/>
          <w:snapToGrid/>
          <w:szCs w:val="32"/>
          <w:lang w:val="zh-CN" w:bidi="zh-CN"/>
        </w:rPr>
        <w:t>职业技能大赛，全市人才资源总量达21.19万人，其中专业技术人才</w:t>
      </w:r>
      <w:r>
        <w:rPr>
          <w:rFonts w:ascii="Times New Roman" w:eastAsia="仿宋_GB2312"/>
          <w:snapToGrid/>
          <w:szCs w:val="32"/>
          <w:lang w:bidi="zh-CN"/>
        </w:rPr>
        <w:t>14.62</w:t>
      </w:r>
      <w:r>
        <w:rPr>
          <w:rFonts w:ascii="Times New Roman" w:eastAsia="仿宋_GB2312"/>
          <w:snapToGrid/>
          <w:szCs w:val="32"/>
          <w:lang w:val="zh-CN" w:bidi="zh-CN"/>
        </w:rPr>
        <w:t>万人，高技能人才</w:t>
      </w:r>
      <w:r>
        <w:rPr>
          <w:rFonts w:ascii="Times New Roman" w:eastAsia="仿宋_GB2312"/>
          <w:snapToGrid/>
          <w:szCs w:val="32"/>
          <w:lang w:bidi="zh-CN"/>
        </w:rPr>
        <w:t>4.79</w:t>
      </w:r>
      <w:r>
        <w:rPr>
          <w:rFonts w:ascii="Times New Roman" w:eastAsia="仿宋_GB2312"/>
          <w:snapToGrid/>
          <w:szCs w:val="32"/>
          <w:lang w:val="zh-CN" w:bidi="zh-CN"/>
        </w:rPr>
        <w:t>万人，比“十二五”末分别增长50.6</w:t>
      </w:r>
      <w:r>
        <w:rPr>
          <w:rFonts w:ascii="Times New Roman" w:eastAsia="仿宋_GB2312"/>
          <w:snapToGrid/>
          <w:szCs w:val="32"/>
          <w:lang w:bidi="zh-CN"/>
        </w:rPr>
        <w:t>%</w:t>
      </w:r>
      <w:r>
        <w:rPr>
          <w:rFonts w:ascii="Times New Roman" w:eastAsia="仿宋_GB2312"/>
          <w:snapToGrid/>
          <w:szCs w:val="32"/>
          <w:lang w:val="zh-CN" w:bidi="zh-CN"/>
        </w:rPr>
        <w:t>、</w:t>
      </w:r>
      <w:r>
        <w:rPr>
          <w:rFonts w:ascii="Times New Roman" w:eastAsia="仿宋_GB2312"/>
          <w:snapToGrid/>
          <w:szCs w:val="32"/>
          <w:lang w:bidi="zh-CN"/>
        </w:rPr>
        <w:t>40.8%</w:t>
      </w:r>
      <w:r>
        <w:rPr>
          <w:rFonts w:ascii="Times New Roman" w:eastAsia="仿宋_GB2312"/>
          <w:snapToGrid/>
          <w:szCs w:val="32"/>
          <w:lang w:val="zh-CN" w:bidi="zh-CN"/>
        </w:rPr>
        <w:t>、</w:t>
      </w:r>
      <w:r>
        <w:rPr>
          <w:rFonts w:ascii="Times New Roman" w:eastAsia="仿宋_GB2312"/>
          <w:snapToGrid/>
          <w:szCs w:val="32"/>
          <w:lang w:bidi="zh-CN"/>
        </w:rPr>
        <w:t>21.88%</w:t>
      </w:r>
      <w:r>
        <w:rPr>
          <w:rFonts w:ascii="Times New Roman" w:eastAsia="仿宋_GB2312"/>
          <w:snapToGrid/>
          <w:szCs w:val="32"/>
          <w:lang w:val="zh-CN" w:bidi="zh-CN"/>
        </w:rPr>
        <w:t>。</w:t>
      </w:r>
    </w:p>
    <w:p>
      <w:pPr>
        <w:snapToGrid/>
        <w:spacing w:line="590" w:lineRule="exact"/>
        <w:ind w:firstLine="640" w:firstLineChars="200"/>
        <w:rPr>
          <w:rFonts w:ascii="Times New Roman" w:eastAsia="仿宋_GB2312"/>
          <w:snapToGrid/>
          <w:szCs w:val="32"/>
          <w:lang w:bidi="zh-CN"/>
        </w:rPr>
      </w:pPr>
      <w:r>
        <w:rPr>
          <w:rFonts w:ascii="Times New Roman" w:eastAsia="仿宋_GB2312"/>
          <w:snapToGrid/>
          <w:szCs w:val="32"/>
          <w:lang w:val="zh-CN" w:bidi="zh-CN"/>
        </w:rPr>
        <w:t>抓维权治欠薪推进源头治理。协调劳动关系三方组织领导体系更加完善，职工权益保障、劳动关系协调和矛盾纠纷调处等机制不断健全，和谐劳动关系基础越发巩固。深入实施“构建和谐劳动关系强基”工程，组建市级劳动保障维权“一窗式”服务平台，巡回仲裁庭和律师购买服务实现镇区全覆盖。全市各级劳动关系和谐企业占单独已建工会且正常经营企业数比例达</w:t>
      </w:r>
      <w:r>
        <w:rPr>
          <w:rFonts w:ascii="Times New Roman" w:eastAsia="仿宋_GB2312"/>
          <w:snapToGrid/>
          <w:szCs w:val="32"/>
          <w:lang w:bidi="zh-CN"/>
        </w:rPr>
        <w:t>65%</w:t>
      </w:r>
      <w:r>
        <w:rPr>
          <w:rFonts w:ascii="Times New Roman" w:eastAsia="仿宋_GB2312"/>
          <w:snapToGrid/>
          <w:szCs w:val="32"/>
          <w:lang w:val="zh-CN" w:bidi="zh-CN"/>
        </w:rPr>
        <w:t>。完善劳动关系分析研判和预警处置机制，执法监管力度和重点领域治理不断加强，</w:t>
      </w:r>
      <w:r>
        <w:rPr>
          <w:rFonts w:ascii="Times New Roman" w:eastAsia="仿宋_GB2312"/>
          <w:snapToGrid/>
          <w:szCs w:val="32"/>
          <w:lang w:bidi="zh-CN"/>
        </w:rPr>
        <w:t>常态化审查</w:t>
      </w:r>
      <w:r>
        <w:rPr>
          <w:rFonts w:ascii="Times New Roman" w:eastAsia="仿宋_GB2312"/>
          <w:snapToGrid/>
          <w:szCs w:val="32"/>
          <w:lang w:val="zh-CN" w:bidi="zh-CN"/>
        </w:rPr>
        <w:t>巡查</w:t>
      </w:r>
      <w:r>
        <w:rPr>
          <w:rFonts w:ascii="Times New Roman" w:eastAsia="仿宋_GB2312"/>
          <w:snapToGrid/>
          <w:szCs w:val="32"/>
          <w:lang w:bidi="zh-CN"/>
        </w:rPr>
        <w:t>用人单位，</w:t>
      </w:r>
      <w:r>
        <w:rPr>
          <w:rFonts w:ascii="Times New Roman" w:eastAsia="仿宋_GB2312"/>
          <w:snapToGrid/>
          <w:szCs w:val="32"/>
          <w:lang w:val="zh-CN" w:bidi="zh-CN"/>
        </w:rPr>
        <w:t>欠薪案件数、金额和人数连续3年同比下降</w:t>
      </w:r>
      <w:r>
        <w:rPr>
          <w:rFonts w:ascii="Times New Roman" w:eastAsia="仿宋_GB2312"/>
          <w:snapToGrid/>
          <w:szCs w:val="32"/>
          <w:lang w:bidi="zh-CN"/>
        </w:rPr>
        <w:t>50%</w:t>
      </w:r>
      <w:r>
        <w:rPr>
          <w:rFonts w:ascii="Times New Roman" w:eastAsia="仿宋_GB2312"/>
          <w:snapToGrid/>
          <w:szCs w:val="32"/>
          <w:lang w:val="zh-CN" w:bidi="zh-CN"/>
        </w:rPr>
        <w:t>以上。劳动人事争议多元化解机制成效显著，裁审衔接机制不断深入，全市劳动人事争议调解仲裁机构共处理争议案件</w:t>
      </w:r>
      <w:r>
        <w:rPr>
          <w:rFonts w:ascii="Times New Roman" w:eastAsia="仿宋_GB2312"/>
          <w:snapToGrid/>
          <w:szCs w:val="32"/>
          <w:lang w:bidi="zh-CN"/>
        </w:rPr>
        <w:t>1.35万件，为劳动者挽回经济损失3.42亿元。</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抓制度立规范细化人事管理。人事制度改革持续深化，专业化青年人才定岗特选覆盖面和影响力不断提升。事业单位特设岗位设置管理更加规范，省内率先探索扩大事业单位高层次人才招引路径。事业单位统一公开招聘规范有序，“十三五”期间共为市属事业单位招录</w:t>
      </w:r>
      <w:r>
        <w:rPr>
          <w:rFonts w:ascii="Times New Roman" w:eastAsia="仿宋_GB2312"/>
          <w:snapToGrid/>
          <w:szCs w:val="32"/>
          <w:lang w:bidi="zh-CN"/>
        </w:rPr>
        <w:t>2322</w:t>
      </w:r>
      <w:r>
        <w:rPr>
          <w:rFonts w:ascii="Times New Roman" w:eastAsia="仿宋_GB2312"/>
          <w:snapToGrid/>
          <w:szCs w:val="32"/>
          <w:lang w:val="zh-CN" w:bidi="zh-CN"/>
        </w:rPr>
        <w:t>人。市属事业单位收入分配改革和国企薪酬改革深入推进，事业单位人事工资管理更加规范科学。人事考试项目规范达标率连续20年达100%。</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抓队伍提质效做亮公共服务。人社领域“放管服”改革深入推进，人社公共服务“五个不出村”基本实现。经办服务方式不断创新，124项人社业务实现“网上办”“掌上办”。“</w:t>
      </w:r>
      <w:r>
        <w:rPr>
          <w:rFonts w:ascii="Times New Roman" w:eastAsia="仿宋_GB2312"/>
          <w:snapToGrid/>
          <w:szCs w:val="32"/>
          <w:lang w:bidi="zh-CN"/>
        </w:rPr>
        <w:t>太仓</w:t>
      </w:r>
      <w:r>
        <w:rPr>
          <w:rFonts w:ascii="Times New Roman" w:eastAsia="仿宋_GB2312"/>
          <w:snapToGrid/>
          <w:szCs w:val="32"/>
          <w:lang w:val="zh-CN" w:bidi="zh-CN"/>
        </w:rPr>
        <w:t>人社”微信公众号服务功能持续优化，注册用户超</w:t>
      </w:r>
      <w:r>
        <w:rPr>
          <w:rFonts w:ascii="Times New Roman" w:eastAsia="仿宋_GB2312"/>
          <w:snapToGrid/>
          <w:szCs w:val="32"/>
          <w:lang w:bidi="zh-CN"/>
        </w:rPr>
        <w:t>17</w:t>
      </w:r>
      <w:r>
        <w:rPr>
          <w:rFonts w:ascii="Times New Roman" w:eastAsia="仿宋_GB2312"/>
          <w:snapToGrid/>
          <w:szCs w:val="32"/>
          <w:lang w:val="zh-CN" w:bidi="zh-CN"/>
        </w:rPr>
        <w:t>万人。行风建设“</w:t>
      </w:r>
      <w:r>
        <w:rPr>
          <w:rFonts w:ascii="Times New Roman" w:eastAsia="仿宋_GB2312"/>
          <w:snapToGrid/>
          <w:szCs w:val="32"/>
          <w:lang w:bidi="zh-CN"/>
        </w:rPr>
        <w:t>明察暗访</w:t>
      </w:r>
      <w:r>
        <w:rPr>
          <w:rFonts w:ascii="Times New Roman" w:eastAsia="仿宋_GB2312"/>
          <w:snapToGrid/>
          <w:szCs w:val="32"/>
          <w:lang w:val="zh-CN" w:bidi="zh-CN"/>
        </w:rPr>
        <w:t>”机制全面落实，窗口单位业务技能练兵比武活动深入开展。</w:t>
      </w:r>
    </w:p>
    <w:p>
      <w:pPr>
        <w:snapToGrid/>
        <w:spacing w:line="590" w:lineRule="exact"/>
        <w:ind w:firstLine="0"/>
        <w:jc w:val="center"/>
        <w:rPr>
          <w:rFonts w:ascii="Times New Roman" w:eastAsia="仿宋_GB2312"/>
          <w:snapToGrid/>
          <w:sz w:val="22"/>
          <w:szCs w:val="22"/>
          <w:lang w:val="zh-CN" w:bidi="zh-CN"/>
        </w:rPr>
      </w:pPr>
      <w:r>
        <w:rPr>
          <w:rFonts w:ascii="Times New Roman" w:eastAsia="仿宋_GB2312"/>
          <w:snapToGrid/>
          <w:szCs w:val="32"/>
          <w:lang w:val="zh-CN" w:bidi="zh-CN"/>
        </w:rPr>
        <w:t>表1：“十三五”规划主要指标完成情况</w:t>
      </w:r>
    </w:p>
    <w:tbl>
      <w:tblPr>
        <w:tblStyle w:val="2"/>
        <w:tblW w:w="88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18"/>
        <w:gridCol w:w="1635"/>
        <w:gridCol w:w="1560"/>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指标</w:t>
            </w:r>
          </w:p>
        </w:tc>
        <w:tc>
          <w:tcPr>
            <w:tcW w:w="1635" w:type="dxa"/>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“十二五”期末</w:t>
            </w:r>
          </w:p>
        </w:tc>
        <w:tc>
          <w:tcPr>
            <w:tcW w:w="1560" w:type="dxa"/>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“十三五”目标</w:t>
            </w:r>
          </w:p>
        </w:tc>
        <w:tc>
          <w:tcPr>
            <w:tcW w:w="1434" w:type="dxa"/>
            <w:tcBorders>
              <w:right w:val="single" w:color="000000" w:sz="8" w:space="0"/>
            </w:tcBorders>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2020年实际值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847" w:type="dxa"/>
            <w:gridSpan w:val="4"/>
            <w:tcBorders>
              <w:left w:val="single" w:color="000000" w:sz="8" w:space="0"/>
              <w:right w:val="single" w:color="000000" w:sz="8" w:space="0"/>
            </w:tcBorders>
            <w:noWrap w:val="0"/>
            <w:vAlign w:val="top"/>
          </w:tcPr>
          <w:p>
            <w:pPr>
              <w:snapToGrid/>
              <w:spacing w:line="240" w:lineRule="auto"/>
              <w:ind w:firstLine="0"/>
              <w:jc w:val="left"/>
              <w:rPr>
                <w:rFonts w:ascii="Times New Roman" w:eastAsia="黑体"/>
                <w:snapToGrid/>
                <w:sz w:val="22"/>
                <w:szCs w:val="22"/>
                <w:lang w:val="zh-CN" w:bidi="zh-CN"/>
              </w:rPr>
            </w:pPr>
            <w:r>
              <w:rPr>
                <w:rFonts w:ascii="Times New Roman" w:eastAsia="黑体"/>
                <w:snapToGrid/>
                <w:sz w:val="22"/>
                <w:szCs w:val="22"/>
                <w:lang w:val="zh-CN" w:bidi="zh-CN"/>
              </w:rPr>
              <w:t>一、就业创业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1．城镇新增就业人数（万人）</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[5.6]</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1.1</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2．城镇登记失业率（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1.92</w:t>
            </w:r>
          </w:p>
        </w:tc>
        <w:tc>
          <w:tcPr>
            <w:tcW w:w="1560" w:type="dxa"/>
            <w:noWrap w:val="0"/>
            <w:vAlign w:val="center"/>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≤3.5</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3．</w:t>
            </w:r>
            <w:r>
              <w:rPr>
                <w:rFonts w:ascii="Times New Roman" w:eastAsia="仿宋"/>
                <w:snapToGrid/>
                <w:sz w:val="22"/>
                <w:szCs w:val="22"/>
                <w:lang w:bidi="zh-CN"/>
              </w:rPr>
              <w:t>本市户籍</w:t>
            </w:r>
            <w:r>
              <w:rPr>
                <w:rFonts w:ascii="Times New Roman" w:eastAsia="仿宋"/>
                <w:snapToGrid/>
                <w:sz w:val="22"/>
                <w:szCs w:val="22"/>
                <w:lang w:val="zh-CN" w:bidi="zh-CN"/>
              </w:rPr>
              <w:t>高校毕业生就业率（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95</w:t>
            </w:r>
          </w:p>
        </w:tc>
        <w:tc>
          <w:tcPr>
            <w:tcW w:w="1560" w:type="dxa"/>
            <w:noWrap w:val="0"/>
            <w:vAlign w:val="center"/>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≥95</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4．职业培训人数（万人</w:t>
            </w:r>
            <w:r>
              <w:rPr>
                <w:rFonts w:ascii="Times New Roman" w:eastAsia="仿宋"/>
                <w:snapToGrid/>
                <w:sz w:val="22"/>
                <w:szCs w:val="22"/>
                <w:lang w:bidi="zh-CN"/>
              </w:rPr>
              <w:t>次</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[10.6]</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12</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847" w:type="dxa"/>
            <w:gridSpan w:val="4"/>
            <w:tcBorders>
              <w:left w:val="single" w:color="000000" w:sz="8" w:space="0"/>
              <w:right w:val="single" w:color="000000" w:sz="8" w:space="0"/>
            </w:tcBorders>
            <w:noWrap w:val="0"/>
            <w:vAlign w:val="center"/>
          </w:tcPr>
          <w:p>
            <w:pPr>
              <w:snapToGrid/>
              <w:spacing w:line="240" w:lineRule="auto"/>
              <w:ind w:firstLine="0"/>
              <w:jc w:val="left"/>
              <w:rPr>
                <w:rFonts w:ascii="Times New Roman" w:eastAsia="黑体"/>
                <w:snapToGrid/>
                <w:sz w:val="22"/>
                <w:szCs w:val="22"/>
                <w:lang w:val="zh-CN" w:bidi="zh-CN"/>
              </w:rPr>
            </w:pPr>
            <w:r>
              <w:rPr>
                <w:rFonts w:ascii="Times New Roman" w:eastAsia="黑体"/>
                <w:snapToGrid/>
                <w:sz w:val="22"/>
                <w:szCs w:val="22"/>
                <w:lang w:val="zh-CN" w:bidi="zh-CN"/>
              </w:rPr>
              <w:t>二、社会保险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5</w:t>
            </w:r>
            <w:r>
              <w:rPr>
                <w:rFonts w:ascii="Times New Roman" w:eastAsia="仿宋"/>
                <w:snapToGrid/>
                <w:sz w:val="22"/>
                <w:szCs w:val="22"/>
                <w:lang w:val="zh-CN" w:bidi="zh-CN"/>
              </w:rPr>
              <w:t>．城乡基本养老保险参保率（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99</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val="zh-CN" w:bidi="zh-CN"/>
              </w:rPr>
              <w:t>≥99</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6</w:t>
            </w:r>
            <w:r>
              <w:rPr>
                <w:rFonts w:ascii="Times New Roman" w:eastAsia="仿宋"/>
                <w:snapToGrid/>
                <w:sz w:val="22"/>
                <w:szCs w:val="22"/>
                <w:lang w:val="zh-CN" w:bidi="zh-CN"/>
              </w:rPr>
              <w:t>．失业保险参保率（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99</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val="zh-CN" w:bidi="zh-CN"/>
              </w:rPr>
              <w:t>≥99</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7</w:t>
            </w:r>
            <w:r>
              <w:rPr>
                <w:rFonts w:ascii="Times New Roman" w:eastAsia="仿宋"/>
                <w:snapToGrid/>
                <w:sz w:val="22"/>
                <w:szCs w:val="22"/>
                <w:lang w:val="zh-CN" w:bidi="zh-CN"/>
              </w:rPr>
              <w:t>．被征地农民社会保障覆盖率（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100</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val="zh-CN" w:bidi="zh-CN"/>
              </w:rPr>
              <w:t>100</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847" w:type="dxa"/>
            <w:gridSpan w:val="4"/>
            <w:tcBorders>
              <w:left w:val="single" w:color="000000" w:sz="8" w:space="0"/>
              <w:righ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黑体"/>
                <w:snapToGrid/>
                <w:sz w:val="22"/>
                <w:szCs w:val="22"/>
                <w:lang w:val="zh-CN" w:bidi="zh-CN"/>
              </w:rPr>
              <w:t>三、人才人事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8</w:t>
            </w:r>
            <w:r>
              <w:rPr>
                <w:rFonts w:ascii="Times New Roman" w:eastAsia="仿宋"/>
                <w:snapToGrid/>
                <w:sz w:val="22"/>
                <w:szCs w:val="22"/>
                <w:lang w:val="zh-CN" w:bidi="zh-CN"/>
              </w:rPr>
              <w:t>．人才资源总量（万人）</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14</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20</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9</w:t>
            </w:r>
            <w:r>
              <w:rPr>
                <w:rFonts w:ascii="Times New Roman" w:eastAsia="仿宋"/>
                <w:snapToGrid/>
                <w:sz w:val="22"/>
                <w:szCs w:val="22"/>
                <w:lang w:val="zh-CN" w:bidi="zh-CN"/>
              </w:rPr>
              <w:t>．高技能人才占技能劳动者比例（</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32</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33</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10</w:t>
            </w:r>
            <w:r>
              <w:rPr>
                <w:rFonts w:ascii="Times New Roman" w:eastAsia="仿宋"/>
                <w:snapToGrid/>
                <w:sz w:val="22"/>
                <w:szCs w:val="22"/>
                <w:lang w:val="zh-CN" w:bidi="zh-CN"/>
              </w:rPr>
              <w:t>．每万名劳动者中高技能人才数（</w:t>
            </w:r>
            <w:r>
              <w:rPr>
                <w:rFonts w:ascii="Times New Roman" w:eastAsia="仿宋"/>
                <w:snapToGrid/>
                <w:sz w:val="22"/>
                <w:szCs w:val="22"/>
                <w:lang w:bidi="zh-CN"/>
              </w:rPr>
              <w:t>人</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585</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720</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w:t>
            </w:r>
            <w:r>
              <w:rPr>
                <w:rFonts w:ascii="Times New Roman" w:eastAsia="仿宋"/>
                <w:snapToGrid/>
                <w:sz w:val="22"/>
                <w:szCs w:val="22"/>
                <w:lang w:bidi="zh-CN"/>
              </w:rPr>
              <w:t>1</w:t>
            </w:r>
            <w:r>
              <w:rPr>
                <w:rFonts w:ascii="Times New Roman" w:eastAsia="仿宋"/>
                <w:snapToGrid/>
                <w:sz w:val="22"/>
                <w:szCs w:val="22"/>
                <w:lang w:val="zh-CN" w:bidi="zh-CN"/>
              </w:rPr>
              <w:t>．</w:t>
            </w:r>
            <w:r>
              <w:rPr>
                <w:rFonts w:ascii="Times New Roman" w:eastAsia="仿宋"/>
                <w:snapToGrid/>
                <w:sz w:val="22"/>
                <w:szCs w:val="22"/>
                <w:lang w:bidi="zh-CN"/>
              </w:rPr>
              <w:t>新增高技能人才</w:t>
            </w:r>
            <w:r>
              <w:rPr>
                <w:rFonts w:ascii="Times New Roman" w:eastAsia="仿宋"/>
                <w:snapToGrid/>
                <w:sz w:val="22"/>
                <w:szCs w:val="22"/>
                <w:lang w:val="zh-CN" w:bidi="zh-CN"/>
              </w:rPr>
              <w:t>（</w:t>
            </w:r>
            <w:r>
              <w:rPr>
                <w:rFonts w:ascii="Times New Roman" w:eastAsia="仿宋"/>
                <w:snapToGrid/>
                <w:sz w:val="22"/>
                <w:szCs w:val="22"/>
                <w:lang w:bidi="zh-CN"/>
              </w:rPr>
              <w:t>万</w:t>
            </w:r>
            <w:r>
              <w:rPr>
                <w:rFonts w:ascii="Times New Roman" w:eastAsia="仿宋"/>
                <w:snapToGrid/>
                <w:sz w:val="22"/>
                <w:szCs w:val="22"/>
                <w:lang w:val="zh-CN" w:bidi="zh-CN"/>
              </w:rPr>
              <w:t>人）</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[1.3]</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1.6</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847" w:type="dxa"/>
            <w:gridSpan w:val="4"/>
            <w:tcBorders>
              <w:left w:val="single" w:color="000000" w:sz="8" w:space="0"/>
              <w:right w:val="single" w:color="000000" w:sz="8" w:space="0"/>
            </w:tcBorders>
            <w:noWrap w:val="0"/>
            <w:vAlign w:val="top"/>
          </w:tcPr>
          <w:p>
            <w:pPr>
              <w:snapToGrid/>
              <w:spacing w:line="240" w:lineRule="auto"/>
              <w:ind w:firstLine="0"/>
              <w:jc w:val="left"/>
              <w:rPr>
                <w:rFonts w:ascii="Times New Roman" w:eastAsia="仿宋"/>
                <w:snapToGrid/>
                <w:sz w:val="22"/>
                <w:szCs w:val="22"/>
                <w:lang w:bidi="zh-CN"/>
              </w:rPr>
            </w:pPr>
            <w:r>
              <w:rPr>
                <w:rFonts w:ascii="Times New Roman" w:eastAsia="黑体"/>
                <w:snapToGrid/>
                <w:sz w:val="22"/>
                <w:szCs w:val="22"/>
                <w:lang w:val="zh-CN" w:bidi="zh-CN"/>
              </w:rPr>
              <w:t>四、劳动关系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w:t>
            </w:r>
            <w:r>
              <w:rPr>
                <w:rFonts w:ascii="Times New Roman" w:eastAsia="仿宋"/>
                <w:snapToGrid/>
                <w:sz w:val="22"/>
                <w:szCs w:val="22"/>
                <w:lang w:bidi="zh-CN"/>
              </w:rPr>
              <w:t>2</w:t>
            </w:r>
            <w:r>
              <w:rPr>
                <w:rFonts w:ascii="Times New Roman" w:eastAsia="仿宋"/>
                <w:snapToGrid/>
                <w:sz w:val="22"/>
                <w:szCs w:val="22"/>
                <w:lang w:val="zh-CN" w:bidi="zh-CN"/>
              </w:rPr>
              <w:t>．规模以上企业劳动合同签订率（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99.9</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val="zh-CN" w:bidi="zh-CN"/>
              </w:rPr>
              <w:t>99</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bidi="zh-CN"/>
              </w:rPr>
            </w:pPr>
            <w:r>
              <w:rPr>
                <w:rFonts w:ascii="Times New Roman" w:eastAsia="仿宋"/>
                <w:snapToGrid/>
                <w:sz w:val="22"/>
                <w:szCs w:val="22"/>
                <w:lang w:bidi="zh-CN"/>
              </w:rPr>
              <w:t>13</w:t>
            </w:r>
            <w:r>
              <w:rPr>
                <w:rFonts w:ascii="Times New Roman" w:eastAsia="仿宋"/>
                <w:snapToGrid/>
                <w:sz w:val="22"/>
                <w:szCs w:val="22"/>
                <w:lang w:val="zh-CN" w:bidi="zh-CN"/>
              </w:rPr>
              <w:t>．劳动人事争议仲裁按期结案率（</w:t>
            </w:r>
            <w:r>
              <w:rPr>
                <w:rFonts w:ascii="Times New Roman" w:eastAsia="仿宋"/>
                <w:snapToGrid/>
                <w:sz w:val="22"/>
                <w:szCs w:val="22"/>
                <w:lang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100</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96.5</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218" w:type="dxa"/>
            <w:tcBorders>
              <w:left w:val="single" w:color="000000" w:sz="8" w:space="0"/>
            </w:tcBorders>
            <w:noWrap w:val="0"/>
            <w:vAlign w:val="center"/>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bidi="zh-CN"/>
              </w:rPr>
              <w:t>14</w:t>
            </w:r>
            <w:r>
              <w:rPr>
                <w:rFonts w:ascii="Times New Roman" w:eastAsia="仿宋"/>
                <w:snapToGrid/>
                <w:sz w:val="22"/>
                <w:szCs w:val="22"/>
                <w:lang w:val="zh-CN" w:bidi="zh-CN"/>
              </w:rPr>
              <w:t>．劳动保障监察案件按期结案率（</w:t>
            </w:r>
            <w:r>
              <w:rPr>
                <w:rFonts w:ascii="Times New Roman" w:eastAsia="仿宋"/>
                <w:snapToGrid/>
                <w:sz w:val="22"/>
                <w:szCs w:val="22"/>
                <w:lang w:bidi="zh-CN"/>
              </w:rPr>
              <w:t>%</w:t>
            </w:r>
            <w:r>
              <w:rPr>
                <w:rFonts w:ascii="Times New Roman" w:eastAsia="仿宋"/>
                <w:snapToGrid/>
                <w:sz w:val="22"/>
                <w:szCs w:val="22"/>
                <w:lang w:val="zh-CN" w:bidi="zh-CN"/>
              </w:rPr>
              <w:t>）</w:t>
            </w:r>
          </w:p>
        </w:tc>
        <w:tc>
          <w:tcPr>
            <w:tcW w:w="1635"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100</w:t>
            </w:r>
          </w:p>
        </w:tc>
        <w:tc>
          <w:tcPr>
            <w:tcW w:w="1560" w:type="dxa"/>
            <w:noWrap w:val="0"/>
            <w:vAlign w:val="center"/>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100</w:t>
            </w:r>
          </w:p>
        </w:tc>
        <w:tc>
          <w:tcPr>
            <w:tcW w:w="1434" w:type="dxa"/>
            <w:tcBorders>
              <w:right w:val="single" w:color="000000" w:sz="8" w:space="0"/>
            </w:tcBorders>
            <w:noWrap w:val="0"/>
            <w:vAlign w:val="center"/>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100</w:t>
            </w:r>
          </w:p>
        </w:tc>
      </w:tr>
    </w:tbl>
    <w:p>
      <w:pPr>
        <w:snapToGrid/>
        <w:spacing w:line="240" w:lineRule="auto"/>
        <w:ind w:firstLine="0"/>
        <w:jc w:val="left"/>
        <w:rPr>
          <w:rFonts w:ascii="Times New Roman" w:eastAsia="仿宋_GB2312"/>
          <w:snapToGrid/>
          <w:sz w:val="22"/>
          <w:szCs w:val="22"/>
          <w:lang w:val="zh-CN" w:bidi="zh-CN"/>
        </w:rPr>
      </w:pPr>
      <w:r>
        <w:rPr>
          <w:rFonts w:ascii="Times New Roman" w:eastAsia="仿宋_GB2312"/>
          <w:snapToGrid/>
          <w:sz w:val="28"/>
          <w:szCs w:val="28"/>
          <w:lang w:val="zh-CN" w:bidi="zh-CN"/>
        </w:rPr>
        <w:t>注：[]表示五年累计数</w:t>
      </w:r>
      <w:r>
        <w:rPr>
          <w:rFonts w:ascii="Times New Roman" w:eastAsia="仿宋_GB2312"/>
          <w:snapToGrid/>
          <w:sz w:val="22"/>
          <w:szCs w:val="22"/>
          <w:lang w:val="zh-CN" w:bidi="zh-CN"/>
        </w:rPr>
        <w:t>。</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（二）形势任务。</w:t>
      </w:r>
      <w:r>
        <w:rPr>
          <w:rFonts w:ascii="Times New Roman" w:eastAsia="仿宋_GB2312"/>
          <w:snapToGrid/>
          <w:szCs w:val="32"/>
          <w:lang w:val="zh-CN" w:bidi="zh-CN"/>
        </w:rPr>
        <w:t>“十四五”时期，我市人力资源和社会保障工作的整体环境和发展条件发生了深刻变化，需要我们准确识变、科学应变、主动求变，在有效应对中育先机、开新局。</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从外部环境看，不稳定性不确定性明显增强，必须在危中寻机、变危为机中牢牢掌握发展主动权。世界百年未有之大变局加速演变，外部形势错综复杂，新冠肺炎疫情影响广泛深远，我市与外部经济深度融合，产业链、供应链安全以及制造业、外贸等行业领域平稳发展面临严峻挑战，人口老龄化、受教育年限增加、劳动力结构变化等趋势不断加深，深刻影响着整体就业形势巩固、社保制度可持续发展和劳动关系和谐稳定。但同时也要看到，党的坚强领导和政治制度的显著优势更加彰显，经济稳中向好、长期向好的基本趋势没有改变；我市经济韧性强，发展基础较好，为人社事业高质量、可持续发展提供了有力保障。此外，新产业、新业态、新商业模式快速发展，为劳动者特别是就业困难人员提供了新的就业岗位和转岗转业平台，对扩大就业容量、提高劳动参与率产生积极作用。</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从发展阶段看，我市要做深“融入上海、对德合作、以港强市”三篇文章，在推动高质量发展、建设“现代</w:t>
      </w:r>
      <w:r>
        <w:rPr>
          <w:rFonts w:ascii="Times New Roman" w:eastAsia="仿宋_GB2312"/>
          <w:snapToGrid/>
          <w:szCs w:val="32"/>
          <w:lang w:bidi="zh-CN"/>
        </w:rPr>
        <w:t>田园城</w:t>
      </w:r>
      <w:r>
        <w:rPr>
          <w:rFonts w:ascii="Times New Roman" w:eastAsia="仿宋_GB2312"/>
          <w:snapToGrid/>
          <w:szCs w:val="32"/>
          <w:lang w:val="zh-CN" w:bidi="zh-CN"/>
        </w:rPr>
        <w:t>、幸福金太仓”的跑道上振翅高飞，必须勇担使命奋力拼出“太仓速度”。太仓市第十四次党代会明确了未来一段时期发展的主要任务和具体目标，我市正大力发展航空航天、生物医药、文创旅游等新兴产业，加速推进传统产业智能化改造和数字化转型，产业体系要更趋完善，对人才引育和劳动者适岗就业能力提出更高要求，产业发展急需的各类创新型、支撑型人才供给还不够充分，事业单位人事管理效率、人力资源市场配置效率有待提升，结构性矛盾成为就业领域的主要矛盾。但同时也要看到，我市正加快打造“上海下一站，下一站上海”的虹桥国际开放枢纽北翼发展极，产业发展、技术变革、营商环境不断优化，为促进人力资源优化配置和人才队伍不断壮大孕育了新的潜力。长三角一体化持续融入、“沪太同城”深入发展、对德合作进一步深化，也为跨区跨国人力资源流动、服务资源共享提供了广阔机遇。</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从内部自身看，人社领域发展不平衡不充分问题依然突出，必须在立足长远、真抓实干中推动质量变革、效率变革、动力变革。当前，社会保险制度改革不断深入，统筹层次不断提升，但是险种、城乡之间存在不平衡，巩固完善城乡一体的社会保障体系任务仍然艰巨。劳动关系协商协调机制不断健全，应对处置劳动关系争议纠纷的能力进一步提升，但广大职工对体面劳动、灵活就业的多元化诉求日益增强，劳动纠纷易发多发，基层基础还需加强。太仓城市能级加速跃升，人社领域公共服务、风险防控、数字人社建设仍需持续推进。</w:t>
      </w:r>
    </w:p>
    <w:p>
      <w:pPr>
        <w:snapToGrid/>
        <w:spacing w:line="590" w:lineRule="exact"/>
        <w:ind w:firstLine="640" w:firstLineChars="200"/>
        <w:rPr>
          <w:rFonts w:ascii="Times New Roman" w:eastAsia="黑体"/>
          <w:snapToGrid/>
          <w:szCs w:val="32"/>
          <w:lang w:val="zh-CN" w:bidi="zh-CN"/>
        </w:rPr>
      </w:pPr>
      <w:r>
        <w:rPr>
          <w:rFonts w:ascii="Times New Roman" w:eastAsia="黑体"/>
          <w:snapToGrid/>
          <w:szCs w:val="32"/>
          <w:lang w:val="zh-CN" w:bidi="zh-CN"/>
        </w:rPr>
        <w:t>二、总体要求</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（一）指导思想。</w:t>
      </w:r>
      <w:r>
        <w:rPr>
          <w:rFonts w:ascii="Times New Roman" w:eastAsia="仿宋_GB2312"/>
          <w:snapToGrid/>
          <w:szCs w:val="32"/>
          <w:lang w:val="zh-CN" w:bidi="zh-CN"/>
        </w:rPr>
        <w:t>以习近平新时代中国特色社会主义思想为指导，全面贯彻党的十九大和十九届二中、三中、四中、五中、</w:t>
      </w:r>
      <w:r>
        <w:rPr>
          <w:rFonts w:ascii="Times New Roman" w:eastAsia="仿宋_GB2312"/>
          <w:snapToGrid/>
          <w:szCs w:val="32"/>
          <w:lang w:bidi="zh-CN"/>
        </w:rPr>
        <w:t>六中</w:t>
      </w:r>
      <w:r>
        <w:rPr>
          <w:rFonts w:ascii="Times New Roman" w:eastAsia="仿宋_GB2312"/>
          <w:snapToGrid/>
          <w:szCs w:val="32"/>
          <w:lang w:val="zh-CN" w:bidi="zh-CN"/>
        </w:rPr>
        <w:t>全会精神，深入落实习近平总书记对江苏工作重要讲话指示精神和在庆祝中国共产党成立100周年大会上的重要讲话精神，立足新发展阶段，贯彻新发展理念，促进构建新发展格局，坚持稳中求进工作总基调，坚持“民生为本，人才优先”工作主线，聚焦就业创业首选城市建设，更好统筹人才人事体制机制创新、和谐劳动关系创建、社保制度改革等工作，深化系统行风提升和信息化支撑，切实防范化解重大风险挑战，推动全市人社事业高质量发展持续走在</w:t>
      </w:r>
      <w:r>
        <w:rPr>
          <w:rFonts w:ascii="Times New Roman" w:eastAsia="仿宋_GB2312"/>
          <w:snapToGrid/>
          <w:szCs w:val="32"/>
          <w:lang w:bidi="zh-CN"/>
        </w:rPr>
        <w:t>江苏省和苏州大市</w:t>
      </w:r>
      <w:r>
        <w:rPr>
          <w:rFonts w:ascii="Times New Roman" w:eastAsia="仿宋_GB2312"/>
          <w:snapToGrid/>
          <w:szCs w:val="32"/>
          <w:lang w:val="zh-CN" w:bidi="zh-CN"/>
        </w:rPr>
        <w:t>前列，为</w:t>
      </w:r>
      <w:r>
        <w:rPr>
          <w:rFonts w:ascii="Times New Roman" w:eastAsia="仿宋_GB2312"/>
          <w:snapToGrid/>
          <w:szCs w:val="32"/>
          <w:lang w:bidi="zh-CN"/>
        </w:rPr>
        <w:t>太仓</w:t>
      </w:r>
      <w:r>
        <w:rPr>
          <w:rFonts w:ascii="Times New Roman" w:eastAsia="仿宋_GB2312"/>
          <w:snapToGrid/>
          <w:szCs w:val="32"/>
          <w:lang w:val="zh-CN" w:bidi="zh-CN"/>
        </w:rPr>
        <w:t>加快打造虹桥国际开放枢纽北翼发展极、谱写社会主义现代化建设精彩篇章作出积极贡献。</w:t>
      </w:r>
    </w:p>
    <w:p>
      <w:pPr>
        <w:snapToGrid/>
        <w:spacing w:line="590" w:lineRule="exact"/>
        <w:ind w:firstLine="640" w:firstLineChars="200"/>
        <w:rPr>
          <w:rFonts w:ascii="Times New Roman" w:eastAsia="楷体_GB2312"/>
          <w:snapToGrid/>
          <w:szCs w:val="32"/>
          <w:lang w:val="zh-CN" w:bidi="zh-CN"/>
        </w:rPr>
      </w:pPr>
      <w:r>
        <w:rPr>
          <w:rFonts w:ascii="Times New Roman" w:eastAsia="楷体_GB2312"/>
          <w:snapToGrid/>
          <w:szCs w:val="32"/>
          <w:lang w:val="zh-CN" w:bidi="zh-CN"/>
        </w:rPr>
        <w:t>（二）基本原则。</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坚持提高站位，服务大局。</w:t>
      </w:r>
      <w:r>
        <w:rPr>
          <w:rFonts w:ascii="Times New Roman" w:eastAsia="仿宋_GB2312"/>
          <w:snapToGrid/>
          <w:szCs w:val="32"/>
          <w:lang w:val="zh-CN" w:bidi="zh-CN"/>
        </w:rPr>
        <w:t>将人社事业发展和经济社会发展大局紧密结合起来，在全面建设社会主义现代化新征程中不断提高推动人社事业高质量发展的能力和水平，服务好全市中心工作，全力彰显人社部门使命担当。</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坚持民生为本，服务至上。</w:t>
      </w:r>
      <w:r>
        <w:rPr>
          <w:rFonts w:ascii="Times New Roman" w:eastAsia="仿宋_GB2312"/>
          <w:snapToGrid/>
          <w:szCs w:val="32"/>
          <w:lang w:val="zh-CN" w:bidi="zh-CN"/>
        </w:rPr>
        <w:t>坚持以人民为中心，将人社事业高质量发展与满足人民群众对美好生活的期盼和向往紧密结合起来。全力维护人民群众合法权益和根本利益，努力使广大人民群众共享改革发展成果。</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3</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坚持深化改革，务实创新。</w:t>
      </w:r>
      <w:r>
        <w:rPr>
          <w:rFonts w:ascii="Times New Roman" w:eastAsia="仿宋_GB2312"/>
          <w:snapToGrid/>
          <w:szCs w:val="32"/>
          <w:lang w:val="zh-CN" w:bidi="zh-CN"/>
        </w:rPr>
        <w:t>坚持扬优势、固根基、补短板、强弱项，把深化改革作为应对形势变化、厚植发展优势、解决疑难问题、破除制约高质量发展障碍的重要抓手，向企业赋能、为人才松绑、对基层倾斜，充分激发市场主体活力和发展动力。</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4</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坚持系统思维，防范风险。</w:t>
      </w:r>
      <w:r>
        <w:rPr>
          <w:rFonts w:ascii="Times New Roman" w:eastAsia="仿宋_GB2312"/>
          <w:snapToGrid/>
          <w:szCs w:val="32"/>
          <w:lang w:val="zh-CN" w:bidi="zh-CN"/>
        </w:rPr>
        <w:t>统筹人社领域发展和安全，加强前瞻性思考、全局性谋划、战略性布局、整体性推进，实现更高质量、更有效率、更加公平、更可持续、更为安全发展。慎终如始防范化解内外部重大风险挑战，营造稳定可期发展环境。</w:t>
      </w:r>
    </w:p>
    <w:p>
      <w:pPr>
        <w:snapToGrid/>
        <w:spacing w:line="590" w:lineRule="exact"/>
        <w:ind w:firstLine="640" w:firstLineChars="200"/>
        <w:rPr>
          <w:rFonts w:ascii="Times New Roman" w:eastAsia="楷体_GB2312"/>
          <w:snapToGrid/>
          <w:szCs w:val="32"/>
          <w:lang w:val="zh-CN" w:bidi="zh-CN"/>
        </w:rPr>
      </w:pPr>
      <w:r>
        <w:rPr>
          <w:rFonts w:ascii="Times New Roman" w:eastAsia="楷体_GB2312"/>
          <w:snapToGrid/>
          <w:szCs w:val="32"/>
          <w:lang w:val="zh-CN" w:bidi="zh-CN"/>
        </w:rPr>
        <w:t>（三）主要目标。</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立足新发展阶段，服务高质量发展。</w:t>
      </w:r>
      <w:r>
        <w:rPr>
          <w:rFonts w:ascii="Times New Roman" w:eastAsia="仿宋_GB2312"/>
          <w:snapToGrid/>
          <w:szCs w:val="32"/>
          <w:lang w:val="zh-CN" w:bidi="zh-CN"/>
        </w:rPr>
        <w:t>始终把服务经济社会高质量发展作为人社事业发展总基调，注重统筹国内国际资源要素，坚持引进来与走出去并重，加快推进人才资源和人力资源向先进生产力集中，人才队伍规模不断扩大、结构更加合理、质量整体提升、创新活力进一步迸发，“产、才、人”融合发展的态势更加稳固。“十四五”末，全市专业技术人才总量超过16</w:t>
      </w:r>
      <w:r>
        <w:rPr>
          <w:rFonts w:ascii="Times New Roman" w:eastAsia="仿宋_GB2312"/>
          <w:snapToGrid/>
          <w:szCs w:val="32"/>
          <w:lang w:bidi="zh-CN"/>
        </w:rPr>
        <w:t>.</w:t>
      </w:r>
      <w:r>
        <w:rPr>
          <w:rFonts w:ascii="Times New Roman" w:eastAsia="仿宋_GB2312"/>
          <w:snapToGrid/>
          <w:szCs w:val="32"/>
          <w:lang w:val="zh-CN" w:bidi="zh-CN"/>
        </w:rPr>
        <w:t>2万，技能人才总量达16万，其中高技能人才总量超6万人。</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贯彻新发展理念，助力高品质生活。</w:t>
      </w:r>
      <w:r>
        <w:rPr>
          <w:rFonts w:ascii="Times New Roman" w:eastAsia="仿宋_GB2312"/>
          <w:snapToGrid/>
          <w:szCs w:val="32"/>
          <w:lang w:val="zh-CN" w:bidi="zh-CN"/>
        </w:rPr>
        <w:t>深入贯彻新发展理念，以推动共同富裕为导向，以改革创新为根本动力，服务人的全面发展，促进城乡居民收入增长与经济增长更加协调、经济结构与就业结构优化互促的良性循环，更好满足人民群众品质化、多样化的生活需求，富民惠民安民继续保持全省前列。“十四五”期间，城镇新增就业</w:t>
      </w:r>
      <w:r>
        <w:rPr>
          <w:rFonts w:ascii="Times New Roman" w:eastAsia="仿宋_GB2312"/>
          <w:snapToGrid/>
          <w:szCs w:val="32"/>
          <w:lang w:bidi="zh-CN"/>
        </w:rPr>
        <w:t>5</w:t>
      </w:r>
      <w:r>
        <w:rPr>
          <w:rFonts w:ascii="Times New Roman" w:eastAsia="仿宋_GB2312"/>
          <w:snapToGrid/>
          <w:szCs w:val="32"/>
          <w:lang w:val="zh-CN" w:bidi="zh-CN"/>
        </w:rPr>
        <w:t>万人以上，城镇登记失业率控制在</w:t>
      </w:r>
      <w:r>
        <w:rPr>
          <w:rFonts w:ascii="Times New Roman" w:eastAsia="仿宋_GB2312"/>
          <w:snapToGrid/>
          <w:szCs w:val="32"/>
          <w:lang w:bidi="zh-CN"/>
        </w:rPr>
        <w:t>3%</w:t>
      </w:r>
      <w:r>
        <w:rPr>
          <w:rFonts w:ascii="Times New Roman" w:eastAsia="仿宋_GB2312"/>
          <w:snapToGrid/>
          <w:szCs w:val="32"/>
          <w:lang w:val="zh-CN" w:bidi="zh-CN"/>
        </w:rPr>
        <w:t>以内。法定人群应保尽保，社保待遇水平稳步提高，民生保障网进一步织密织牢。“十四五”末，城乡基本养老保险参保缴费率</w:t>
      </w:r>
      <w:r>
        <w:rPr>
          <w:rFonts w:ascii="Times New Roman" w:eastAsia="仿宋_GB2312"/>
          <w:snapToGrid/>
          <w:szCs w:val="32"/>
          <w:lang w:bidi="zh-CN"/>
        </w:rPr>
        <w:t>99%</w:t>
      </w:r>
      <w:r>
        <w:rPr>
          <w:rFonts w:ascii="Times New Roman" w:eastAsia="仿宋_GB2312"/>
          <w:snapToGrid/>
          <w:szCs w:val="32"/>
          <w:lang w:val="zh-CN" w:bidi="zh-CN"/>
        </w:rPr>
        <w:t>以上。企业工资分配制度和工资合理增长机制更加健全，符合事业单位特点的工资分配制度基本建立。</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3</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构建新发展格局，实现高效能治理。</w:t>
      </w:r>
      <w:r>
        <w:rPr>
          <w:rFonts w:ascii="Times New Roman" w:eastAsia="仿宋_GB2312"/>
          <w:snapToGrid/>
          <w:szCs w:val="32"/>
          <w:lang w:val="zh-CN" w:bidi="zh-CN"/>
        </w:rPr>
        <w:t>进一步畅通人力资源社会性流动渠道，构建共建共治共享的和谐劳动关系，加快推进人社领域治理体系和治理能力现代化建设，“十四五”末，全市符合劳动关系和谐标准的企业数占单独已建工会且正常经营企业比例动态稳定在</w:t>
      </w:r>
      <w:r>
        <w:rPr>
          <w:rFonts w:ascii="Times New Roman" w:eastAsia="仿宋_GB2312"/>
          <w:snapToGrid/>
          <w:szCs w:val="32"/>
          <w:lang w:bidi="zh-CN"/>
        </w:rPr>
        <w:t>75%</w:t>
      </w:r>
      <w:r>
        <w:rPr>
          <w:rFonts w:ascii="Times New Roman" w:eastAsia="仿宋_GB2312"/>
          <w:snapToGrid/>
          <w:szCs w:val="32"/>
          <w:lang w:val="zh-CN" w:bidi="zh-CN"/>
        </w:rPr>
        <w:t>以上。全市劳动保障监察举报投诉案件结案率达100</w:t>
      </w:r>
      <w:r>
        <w:rPr>
          <w:rFonts w:ascii="Times New Roman" w:eastAsia="仿宋_GB2312"/>
          <w:snapToGrid/>
          <w:szCs w:val="32"/>
          <w:lang w:bidi="zh-CN"/>
        </w:rPr>
        <w:t>%</w:t>
      </w:r>
      <w:r>
        <w:rPr>
          <w:rFonts w:ascii="Times New Roman" w:eastAsia="仿宋_GB2312"/>
          <w:snapToGrid/>
          <w:szCs w:val="32"/>
          <w:lang w:val="zh-CN" w:bidi="zh-CN"/>
        </w:rPr>
        <w:t>，劳动人事争议仲裁结案率不低于9</w:t>
      </w:r>
      <w:r>
        <w:rPr>
          <w:rFonts w:ascii="Times New Roman" w:eastAsia="仿宋_GB2312"/>
          <w:snapToGrid/>
          <w:szCs w:val="32"/>
          <w:lang w:bidi="zh-CN"/>
        </w:rPr>
        <w:t>2%</w:t>
      </w:r>
      <w:r>
        <w:rPr>
          <w:rFonts w:ascii="Times New Roman" w:eastAsia="仿宋_GB2312"/>
          <w:snapToGrid/>
          <w:szCs w:val="32"/>
          <w:lang w:val="zh-CN" w:bidi="zh-CN"/>
        </w:rPr>
        <w:t>。人事考试安全率和规范管理达标率保持“双100</w:t>
      </w:r>
      <w:r>
        <w:rPr>
          <w:rFonts w:ascii="Times New Roman" w:eastAsia="仿宋_GB2312"/>
          <w:snapToGrid/>
          <w:szCs w:val="32"/>
          <w:lang w:bidi="zh-CN"/>
        </w:rPr>
        <w:t>%</w:t>
      </w:r>
      <w:r>
        <w:rPr>
          <w:rFonts w:ascii="Times New Roman" w:eastAsia="仿宋_GB2312"/>
          <w:snapToGrid/>
          <w:szCs w:val="32"/>
          <w:lang w:val="zh-CN" w:bidi="zh-CN"/>
        </w:rPr>
        <w:t>”。人社公共服务制度和标准体系全面建立，智慧服务能力明显增强，社会保障卡“一卡通”加快推进，人社公共服务水平和群众满意度不断提升。</w:t>
      </w:r>
    </w:p>
    <w:p>
      <w:pPr>
        <w:snapToGrid/>
        <w:spacing w:line="590" w:lineRule="exact"/>
        <w:ind w:firstLine="0"/>
        <w:jc w:val="center"/>
        <w:rPr>
          <w:rFonts w:ascii="Times New Roman" w:eastAsia="仿宋_GB2312"/>
          <w:snapToGrid/>
          <w:sz w:val="22"/>
          <w:szCs w:val="22"/>
          <w:lang w:val="zh-CN" w:bidi="zh-CN"/>
        </w:rPr>
      </w:pPr>
      <w:r>
        <w:rPr>
          <w:rFonts w:ascii="Times New Roman" w:eastAsia="仿宋_GB2312"/>
          <w:snapToGrid/>
          <w:szCs w:val="32"/>
          <w:lang w:val="zh-CN" w:bidi="zh-CN"/>
        </w:rPr>
        <w:t>表2：“十四五”时期人力资源和社会保障发展主要指标</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90"/>
        <w:gridCol w:w="943"/>
        <w:gridCol w:w="1469"/>
        <w:gridCol w:w="9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bottom w:val="single" w:color="000000" w:sz="6" w:space="0"/>
              <w:right w:val="single" w:color="000000" w:sz="6" w:space="0"/>
            </w:tcBorders>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指标名称</w:t>
            </w:r>
          </w:p>
        </w:tc>
        <w:tc>
          <w:tcPr>
            <w:tcW w:w="943" w:type="dxa"/>
            <w:tcBorders>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单位</w:t>
            </w:r>
          </w:p>
        </w:tc>
        <w:tc>
          <w:tcPr>
            <w:tcW w:w="1469" w:type="dxa"/>
            <w:tcBorders>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2025年目标</w:t>
            </w:r>
          </w:p>
        </w:tc>
        <w:tc>
          <w:tcPr>
            <w:tcW w:w="943" w:type="dxa"/>
            <w:tcBorders>
              <w:left w:val="single" w:color="000000" w:sz="6" w:space="0"/>
              <w:bottom w:val="single" w:color="000000" w:sz="6" w:space="0"/>
            </w:tcBorders>
            <w:noWrap w:val="0"/>
            <w:vAlign w:val="top"/>
          </w:tcPr>
          <w:p>
            <w:pPr>
              <w:snapToGrid/>
              <w:spacing w:line="240" w:lineRule="auto"/>
              <w:ind w:firstLine="0"/>
              <w:jc w:val="center"/>
              <w:rPr>
                <w:rFonts w:ascii="Times New Roman" w:eastAsia="黑体"/>
                <w:snapToGrid/>
                <w:sz w:val="22"/>
                <w:szCs w:val="22"/>
                <w:lang w:val="zh-CN" w:bidi="zh-CN"/>
              </w:rPr>
            </w:pPr>
            <w:r>
              <w:rPr>
                <w:rFonts w:ascii="Times New Roman" w:eastAsia="黑体"/>
                <w:snapToGrid/>
                <w:sz w:val="22"/>
                <w:szCs w:val="22"/>
                <w:lang w:val="zh-CN" w:bidi="zh-CN"/>
              </w:rPr>
              <w:t>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845" w:type="dxa"/>
            <w:gridSpan w:val="4"/>
            <w:tcBorders>
              <w:top w:val="single" w:color="000000" w:sz="6" w:space="0"/>
              <w:bottom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黑体"/>
                <w:snapToGrid/>
                <w:sz w:val="22"/>
                <w:szCs w:val="22"/>
                <w:lang w:val="zh-CN" w:bidi="zh-CN"/>
              </w:rPr>
              <w:t>一、就业创业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1.城镇新增就业人数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w:t>
            </w:r>
            <w:r>
              <w:rPr>
                <w:rFonts w:ascii="Times New Roman" w:eastAsia="仿宋"/>
                <w:snapToGrid/>
                <w:sz w:val="22"/>
                <w:szCs w:val="22"/>
                <w:lang w:bidi="zh-CN"/>
              </w:rPr>
              <w:t>6</w:t>
            </w:r>
            <w:r>
              <w:rPr>
                <w:rFonts w:ascii="Times New Roman" w:eastAsia="仿宋"/>
                <w:snapToGrid/>
                <w:sz w:val="22"/>
                <w:szCs w:val="22"/>
                <w:lang w:val="zh-CN" w:bidi="zh-CN"/>
              </w:rPr>
              <w:t>]</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2.城镇登记失业率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bidi="zh-CN"/>
              </w:rPr>
              <w:t>3</w:t>
            </w:r>
            <w:r>
              <w:rPr>
                <w:rFonts w:ascii="Times New Roman" w:eastAsia="仿宋"/>
                <w:snapToGrid/>
                <w:sz w:val="22"/>
                <w:szCs w:val="22"/>
                <w:lang w:val="zh-CN" w:bidi="zh-CN"/>
              </w:rPr>
              <w:t>以内</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3.扶持城乡劳动者成功自主创业人数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w:t>
            </w:r>
            <w:r>
              <w:rPr>
                <w:rFonts w:ascii="Times New Roman" w:eastAsia="仿宋"/>
                <w:snapToGrid/>
                <w:sz w:val="22"/>
                <w:szCs w:val="22"/>
                <w:lang w:bidi="zh-CN"/>
              </w:rPr>
              <w:t>1</w:t>
            </w:r>
            <w:r>
              <w:rPr>
                <w:rFonts w:ascii="Times New Roman" w:eastAsia="仿宋"/>
                <w:snapToGrid/>
                <w:sz w:val="22"/>
                <w:szCs w:val="22"/>
                <w:lang w:val="zh-CN" w:bidi="zh-CN"/>
              </w:rPr>
              <w:t>]</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4.</w:t>
            </w:r>
            <w:r>
              <w:rPr>
                <w:rFonts w:ascii="Times New Roman" w:eastAsia="仿宋"/>
                <w:snapToGrid/>
                <w:sz w:val="22"/>
                <w:szCs w:val="22"/>
                <w:lang w:bidi="zh-CN"/>
              </w:rPr>
              <w:t>太仓</w:t>
            </w:r>
            <w:r>
              <w:rPr>
                <w:rFonts w:ascii="Times New Roman" w:eastAsia="仿宋"/>
                <w:snapToGrid/>
                <w:sz w:val="22"/>
                <w:szCs w:val="22"/>
                <w:lang w:val="zh-CN" w:bidi="zh-CN"/>
              </w:rPr>
              <w:t>籍高校毕业生就业率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bidi="zh-CN"/>
              </w:rPr>
              <w:t>95</w:t>
            </w:r>
            <w:r>
              <w:rPr>
                <w:rFonts w:ascii="Times New Roman" w:eastAsia="仿宋"/>
                <w:snapToGrid/>
                <w:sz w:val="22"/>
                <w:szCs w:val="22"/>
                <w:lang w:val="zh-CN" w:bidi="zh-CN"/>
              </w:rPr>
              <w:t>以上</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5.开展补贴性职业技能培训人次</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万人次</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highlight w:val="yellow"/>
                <w:lang w:val="zh-CN" w:bidi="zh-CN"/>
              </w:rPr>
            </w:pPr>
            <w:r>
              <w:rPr>
                <w:rFonts w:ascii="Times New Roman" w:eastAsia="仿宋"/>
                <w:snapToGrid/>
                <w:sz w:val="22"/>
                <w:szCs w:val="22"/>
                <w:lang w:bidi="zh-CN"/>
              </w:rPr>
              <w:t>[7]</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845" w:type="dxa"/>
            <w:gridSpan w:val="4"/>
            <w:tcBorders>
              <w:top w:val="single" w:color="000000" w:sz="6" w:space="0"/>
              <w:bottom w:val="single" w:color="000000" w:sz="6" w:space="0"/>
            </w:tcBorders>
            <w:noWrap w:val="0"/>
            <w:vAlign w:val="top"/>
          </w:tcPr>
          <w:p>
            <w:pPr>
              <w:snapToGrid/>
              <w:spacing w:line="240" w:lineRule="auto"/>
              <w:ind w:firstLine="0"/>
              <w:jc w:val="left"/>
              <w:rPr>
                <w:rFonts w:ascii="Times New Roman" w:eastAsia="黑体"/>
                <w:snapToGrid/>
                <w:sz w:val="22"/>
                <w:szCs w:val="22"/>
                <w:lang w:val="zh-CN" w:bidi="zh-CN"/>
              </w:rPr>
            </w:pPr>
            <w:r>
              <w:rPr>
                <w:rFonts w:ascii="Times New Roman" w:eastAsia="黑体"/>
                <w:snapToGrid/>
                <w:sz w:val="22"/>
                <w:szCs w:val="22"/>
                <w:lang w:val="zh-CN" w:bidi="zh-CN"/>
              </w:rPr>
              <w:t>二、社会保险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6.城乡基本养老保险参保缴费率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90</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7.城乡基本养老保险参保人数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36.5</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8.失业保险参保人数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33</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9.工伤保险参保人数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40.5</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845" w:type="dxa"/>
            <w:gridSpan w:val="4"/>
            <w:tcBorders>
              <w:top w:val="single" w:color="000000" w:sz="6" w:space="0"/>
              <w:bottom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黑体"/>
                <w:snapToGrid/>
                <w:sz w:val="22"/>
                <w:szCs w:val="22"/>
                <w:lang w:val="zh-CN" w:bidi="zh-CN"/>
              </w:rPr>
              <w:t>三、人才人事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10.新增取得专业技术人员职业资格证书人数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万人次</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w:t>
            </w:r>
            <w:r>
              <w:rPr>
                <w:rFonts w:ascii="Times New Roman" w:eastAsia="仿宋"/>
                <w:snapToGrid/>
                <w:sz w:val="22"/>
                <w:szCs w:val="22"/>
                <w:lang w:bidi="zh-CN"/>
              </w:rPr>
              <w:t>1.55</w:t>
            </w:r>
            <w:r>
              <w:rPr>
                <w:rFonts w:ascii="Times New Roman" w:eastAsia="仿宋"/>
                <w:snapToGrid/>
                <w:sz w:val="22"/>
                <w:szCs w:val="22"/>
                <w:lang w:val="zh-CN" w:bidi="zh-CN"/>
              </w:rPr>
              <w:t>]</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11.新招收博士后人数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[45]</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12.新增取得职业资格证书或职业技能等级证书人数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万人次</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w:t>
            </w:r>
            <w:r>
              <w:rPr>
                <w:rFonts w:ascii="Times New Roman" w:eastAsia="仿宋"/>
                <w:snapToGrid/>
                <w:sz w:val="22"/>
                <w:szCs w:val="22"/>
                <w:lang w:bidi="zh-CN"/>
              </w:rPr>
              <w:t>3</w:t>
            </w:r>
            <w:r>
              <w:rPr>
                <w:rFonts w:ascii="Times New Roman" w:eastAsia="仿宋"/>
                <w:snapToGrid/>
                <w:sz w:val="22"/>
                <w:szCs w:val="22"/>
                <w:lang w:val="zh-CN" w:bidi="zh-CN"/>
              </w:rPr>
              <w:t>]</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13.每万名劳动力中高技能人才数</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人</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1200</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8845" w:type="dxa"/>
            <w:gridSpan w:val="4"/>
            <w:tcBorders>
              <w:top w:val="single" w:color="000000" w:sz="6" w:space="0"/>
              <w:bottom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黑体"/>
                <w:snapToGrid/>
                <w:sz w:val="22"/>
                <w:szCs w:val="22"/>
                <w:lang w:val="zh-CN" w:bidi="zh-CN"/>
              </w:rPr>
              <w:t>四、劳动关系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14.劳动人事争议调解成功率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60</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15.劳动人事争议仲裁结案率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92</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16.劳动保障监察举报投诉案件结案率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100</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845" w:type="dxa"/>
            <w:gridSpan w:val="4"/>
            <w:tcBorders>
              <w:top w:val="single" w:color="000000" w:sz="6" w:space="0"/>
              <w:bottom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黑体"/>
                <w:snapToGrid/>
                <w:sz w:val="22"/>
                <w:szCs w:val="22"/>
                <w:lang w:val="zh-CN" w:bidi="zh-CN"/>
              </w:rPr>
              <w:t>五、公共服务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bottom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17.申领电子社保卡人口覆盖率</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bottom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70</w:t>
            </w:r>
          </w:p>
        </w:tc>
        <w:tc>
          <w:tcPr>
            <w:tcW w:w="943" w:type="dxa"/>
            <w:tcBorders>
              <w:top w:val="single" w:color="000000" w:sz="6" w:space="0"/>
              <w:left w:val="single" w:color="000000" w:sz="6" w:space="0"/>
              <w:bottom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5490" w:type="dxa"/>
            <w:tcBorders>
              <w:top w:val="single" w:color="000000" w:sz="6" w:space="0"/>
              <w:right w:val="single" w:color="000000" w:sz="6" w:space="0"/>
            </w:tcBorders>
            <w:noWrap w:val="0"/>
            <w:vAlign w:val="top"/>
          </w:tcPr>
          <w:p>
            <w:pPr>
              <w:snapToGrid/>
              <w:spacing w:line="240" w:lineRule="auto"/>
              <w:ind w:firstLine="0"/>
              <w:jc w:val="left"/>
              <w:rPr>
                <w:rFonts w:ascii="Times New Roman" w:eastAsia="仿宋"/>
                <w:snapToGrid/>
                <w:sz w:val="22"/>
                <w:szCs w:val="22"/>
                <w:lang w:val="zh-CN" w:bidi="zh-CN"/>
              </w:rPr>
            </w:pPr>
            <w:r>
              <w:rPr>
                <w:rFonts w:ascii="Times New Roman" w:eastAsia="仿宋"/>
                <w:snapToGrid/>
                <w:sz w:val="22"/>
                <w:szCs w:val="22"/>
                <w:lang w:val="zh-CN" w:bidi="zh-CN"/>
              </w:rPr>
              <w:t>18.人社政务服务好评率</w:t>
            </w:r>
          </w:p>
        </w:tc>
        <w:tc>
          <w:tcPr>
            <w:tcW w:w="943" w:type="dxa"/>
            <w:tcBorders>
              <w:top w:val="single" w:color="000000" w:sz="6" w:space="0"/>
              <w:left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lang w:bidi="zh-CN"/>
              </w:rPr>
            </w:pPr>
            <w:r>
              <w:rPr>
                <w:rFonts w:ascii="Times New Roman" w:eastAsia="仿宋"/>
                <w:snapToGrid/>
                <w:sz w:val="22"/>
                <w:szCs w:val="22"/>
                <w:lang w:bidi="zh-CN"/>
              </w:rPr>
              <w:t>%</w:t>
            </w:r>
          </w:p>
        </w:tc>
        <w:tc>
          <w:tcPr>
            <w:tcW w:w="1469" w:type="dxa"/>
            <w:tcBorders>
              <w:top w:val="single" w:color="000000" w:sz="6" w:space="0"/>
              <w:left w:val="single" w:color="000000" w:sz="6" w:space="0"/>
              <w:right w:val="single" w:color="000000" w:sz="6" w:space="0"/>
            </w:tcBorders>
            <w:noWrap w:val="0"/>
            <w:vAlign w:val="top"/>
          </w:tcPr>
          <w:p>
            <w:pPr>
              <w:snapToGrid/>
              <w:spacing w:line="240" w:lineRule="auto"/>
              <w:ind w:firstLine="0"/>
              <w:jc w:val="center"/>
              <w:rPr>
                <w:rFonts w:ascii="Times New Roman" w:eastAsia="仿宋"/>
                <w:snapToGrid/>
                <w:sz w:val="22"/>
                <w:szCs w:val="22"/>
                <w:highlight w:val="yellow"/>
                <w:lang w:bidi="zh-CN"/>
              </w:rPr>
            </w:pPr>
            <w:r>
              <w:rPr>
                <w:rFonts w:ascii="Times New Roman" w:eastAsia="仿宋"/>
                <w:snapToGrid/>
                <w:sz w:val="22"/>
                <w:szCs w:val="22"/>
                <w:lang w:bidi="zh-CN"/>
              </w:rPr>
              <w:t>95</w:t>
            </w:r>
          </w:p>
        </w:tc>
        <w:tc>
          <w:tcPr>
            <w:tcW w:w="943" w:type="dxa"/>
            <w:tcBorders>
              <w:top w:val="single" w:color="000000" w:sz="6" w:space="0"/>
              <w:left w:val="single" w:color="000000" w:sz="6" w:space="0"/>
            </w:tcBorders>
            <w:noWrap w:val="0"/>
            <w:vAlign w:val="top"/>
          </w:tcPr>
          <w:p>
            <w:pPr>
              <w:snapToGrid/>
              <w:spacing w:line="240" w:lineRule="auto"/>
              <w:ind w:firstLine="0"/>
              <w:jc w:val="center"/>
              <w:rPr>
                <w:rFonts w:ascii="Times New Roman" w:eastAsia="仿宋"/>
                <w:snapToGrid/>
                <w:sz w:val="22"/>
                <w:szCs w:val="22"/>
                <w:lang w:val="zh-CN" w:bidi="zh-CN"/>
              </w:rPr>
            </w:pPr>
            <w:r>
              <w:rPr>
                <w:rFonts w:ascii="Times New Roman" w:eastAsia="仿宋"/>
                <w:snapToGrid/>
                <w:sz w:val="22"/>
                <w:szCs w:val="22"/>
                <w:lang w:val="zh-CN" w:bidi="zh-CN"/>
              </w:rPr>
              <w:t>预期性</w:t>
            </w:r>
          </w:p>
        </w:tc>
      </w:tr>
    </w:tbl>
    <w:p>
      <w:pPr>
        <w:snapToGrid/>
        <w:spacing w:line="240" w:lineRule="auto"/>
        <w:ind w:firstLine="0"/>
        <w:jc w:val="left"/>
        <w:rPr>
          <w:rFonts w:ascii="Times New Roman" w:eastAsia="仿宋_GB2312"/>
          <w:snapToGrid/>
          <w:sz w:val="22"/>
          <w:szCs w:val="22"/>
          <w:lang w:val="zh-CN" w:bidi="zh-CN"/>
        </w:rPr>
      </w:pPr>
      <w:r>
        <w:rPr>
          <w:rFonts w:ascii="Times New Roman" w:eastAsia="仿宋"/>
          <w:snapToGrid/>
          <w:sz w:val="22"/>
          <w:szCs w:val="22"/>
          <w:lang w:val="zh-CN" w:bidi="zh-CN"/>
        </w:rPr>
        <w:t>注：[]表示五年累计数。</w:t>
      </w:r>
    </w:p>
    <w:p>
      <w:pPr>
        <w:snapToGrid/>
        <w:spacing w:line="590" w:lineRule="exact"/>
        <w:ind w:firstLine="640" w:firstLineChars="200"/>
        <w:rPr>
          <w:rFonts w:ascii="Times New Roman" w:eastAsia="黑体"/>
          <w:snapToGrid/>
          <w:szCs w:val="32"/>
          <w:lang w:val="zh-CN" w:bidi="zh-CN"/>
        </w:rPr>
      </w:pPr>
      <w:r>
        <w:rPr>
          <w:rFonts w:ascii="Times New Roman" w:eastAsia="黑体"/>
          <w:snapToGrid/>
          <w:szCs w:val="32"/>
          <w:lang w:val="zh-CN" w:bidi="zh-CN"/>
        </w:rPr>
        <w:t>三、发展重点和主要任务</w:t>
      </w:r>
    </w:p>
    <w:p>
      <w:pPr>
        <w:snapToGrid/>
        <w:spacing w:line="590" w:lineRule="exact"/>
        <w:ind w:firstLine="640" w:firstLineChars="200"/>
        <w:rPr>
          <w:rFonts w:ascii="Times New Roman" w:eastAsia="仿宋_GB2312"/>
          <w:snapToGrid/>
          <w:szCs w:val="32"/>
          <w:lang w:val="zh-CN" w:bidi="zh-CN"/>
        </w:rPr>
      </w:pPr>
      <w:r>
        <w:rPr>
          <w:rFonts w:ascii="Times New Roman" w:eastAsia="仿宋_GB2312"/>
          <w:snapToGrid/>
          <w:szCs w:val="32"/>
          <w:lang w:val="zh-CN" w:bidi="zh-CN"/>
        </w:rPr>
        <w:t>高质量推进“十四五”人社事业发展，必须围绕上述目标要求，重点在六个方面奋力推动实现大跃升。</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（一）奋力在推动更加稳定更高质量就业上实现大跃升。</w:t>
      </w:r>
      <w:r>
        <w:rPr>
          <w:rFonts w:ascii="Times New Roman" w:eastAsia="仿宋_GB2312"/>
          <w:snapToGrid/>
          <w:szCs w:val="32"/>
          <w:lang w:val="zh-CN" w:bidi="zh-CN"/>
        </w:rPr>
        <w:t>坚持经济发展就业导向，扩大就业容量，提升就业质量，优化就业结构，厚植就业优先战略新优势。</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聚力就业创业首选城市建设。</w:t>
      </w:r>
      <w:r>
        <w:rPr>
          <w:rFonts w:ascii="Times New Roman" w:eastAsia="仿宋_GB2312"/>
          <w:snapToGrid/>
          <w:szCs w:val="32"/>
          <w:lang w:val="zh-CN" w:bidi="zh-CN"/>
        </w:rPr>
        <w:t>根据经济社会发展需要和城乡劳动者需求动态完善稳就业、防失业、促创业政策体系，推动经济增长和促进就业良性循环。全面宣贯《江苏省就业促进条例》，常态长效强化企业用工服务，强化跨区域人力资源服务和劳务协作。推动各项惠企政策直达市场主体，加强就业需求调查和失业动态监测，努力防范失业风险，全力稳定和扩大就业。规范支持新就业形态发展，创新建立适应新业态、新模式用工的服务管理体制。大力支持多渠道灵活就业，将灵活就业岗位供求信息纳入公共就业服务范围。鼓励个人经营，增加非全日制就业机会。做强“</w:t>
      </w:r>
      <w:r>
        <w:rPr>
          <w:rFonts w:ascii="Times New Roman" w:eastAsia="仿宋_GB2312"/>
          <w:snapToGrid/>
          <w:szCs w:val="32"/>
          <w:lang w:bidi="zh-CN"/>
        </w:rPr>
        <w:t>乐就太仓</w:t>
      </w:r>
      <w:r>
        <w:rPr>
          <w:rFonts w:ascii="Times New Roman" w:eastAsia="仿宋_GB2312"/>
          <w:snapToGrid/>
          <w:szCs w:val="32"/>
          <w:lang w:val="zh-CN" w:bidi="zh-CN"/>
        </w:rPr>
        <w:t>”线上线下就业公共服务平台，集聚更多就业公共服务个性化支撑，搭建供求匹配“直通车”。加强劳动者就业择业观指导，鼓励劳动者自主创业、自谋职业。</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完善重点群体就业支持体系。</w:t>
      </w:r>
      <w:r>
        <w:rPr>
          <w:rFonts w:ascii="Times New Roman" w:eastAsia="仿宋_GB2312"/>
          <w:snapToGrid/>
          <w:szCs w:val="32"/>
          <w:lang w:val="zh-CN" w:bidi="zh-CN"/>
        </w:rPr>
        <w:t>持续推进高校毕业生、退役军人、就业困难人员、农民工等重点群体就业帮扶工作，完善就业跟踪、就业指导、就业援助等就业服务保障体系，确保重点群体服务率达到100</w:t>
      </w:r>
      <w:r>
        <w:rPr>
          <w:rFonts w:ascii="Times New Roman" w:eastAsia="仿宋_GB2312"/>
          <w:snapToGrid/>
          <w:szCs w:val="32"/>
        </w:rPr>
        <w:t>%</w:t>
      </w:r>
      <w:r>
        <w:rPr>
          <w:rFonts w:ascii="Times New Roman" w:eastAsia="仿宋_GB2312"/>
          <w:snapToGrid/>
          <w:szCs w:val="32"/>
          <w:lang w:val="zh-CN" w:bidi="zh-CN"/>
        </w:rPr>
        <w:t>。扎实开展好就业启航、创业引领、青年见习、基层成长等</w:t>
      </w:r>
      <w:r>
        <w:rPr>
          <w:rFonts w:ascii="Times New Roman" w:eastAsia="仿宋_GB2312"/>
          <w:snapToGrid/>
          <w:szCs w:val="32"/>
          <w:lang w:bidi="zh-CN"/>
        </w:rPr>
        <w:t>专项</w:t>
      </w:r>
      <w:r>
        <w:rPr>
          <w:rFonts w:ascii="Times New Roman" w:eastAsia="仿宋_GB2312"/>
          <w:snapToGrid/>
          <w:szCs w:val="32"/>
          <w:lang w:val="zh-CN" w:bidi="zh-CN"/>
        </w:rPr>
        <w:t>计划。落实乡村振兴战略，健全完善禁捕退捕渔民安置保障长效工作机制，扩大基层公益性岗位开发范围，提升公益性岗位安置质效，确保零就业家庭动态</w:t>
      </w:r>
      <w:r>
        <w:rPr>
          <w:rFonts w:ascii="Times New Roman" w:eastAsia="仿宋_GB2312"/>
          <w:snapToGrid/>
          <w:szCs w:val="32"/>
          <w:lang w:bidi="zh-CN"/>
        </w:rPr>
        <w:t>清</w:t>
      </w:r>
      <w:r>
        <w:rPr>
          <w:rFonts w:ascii="Times New Roman" w:eastAsia="仿宋_GB2312"/>
          <w:snapToGrid/>
          <w:szCs w:val="32"/>
          <w:lang w:val="zh-CN" w:bidi="zh-CN"/>
        </w:rPr>
        <w:t>零。持续深化“人力资源服务零距离”品牌建设，健全完善与劳动力输出地、对口帮扶地的省际人力资源合作对接与就业帮扶机制。</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3</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构建全流程创业支撑体系。</w:t>
      </w:r>
      <w:r>
        <w:rPr>
          <w:rFonts w:ascii="Times New Roman" w:eastAsia="仿宋_GB2312"/>
          <w:snapToGrid/>
          <w:szCs w:val="32"/>
          <w:lang w:val="zh-CN" w:bidi="zh-CN"/>
        </w:rPr>
        <w:t>加大富民创业担保贷款实施力度，持续深化能力提升、载体孵化、典型激励等全流程、系统性的创业支撑体系。加快构建对象普惠、分级分类、系统多元的创业培训工作体系，使有创业意愿和创业培训需求的劳动者享有高质量、规范化、个性化的创业培训和后续服务。搭建专业性创业服务平台，推动公共创业服务与市场化创业资源有机结合。探索打造技能人才创新创业</w:t>
      </w:r>
      <w:r>
        <w:rPr>
          <w:rFonts w:ascii="Times New Roman" w:eastAsia="仿宋_GB2312"/>
          <w:snapToGrid/>
          <w:szCs w:val="32"/>
          <w:lang w:bidi="zh-CN"/>
        </w:rPr>
        <w:t>载体</w:t>
      </w:r>
      <w:r>
        <w:rPr>
          <w:rFonts w:ascii="Times New Roman" w:eastAsia="仿宋_GB2312"/>
          <w:snapToGrid/>
          <w:szCs w:val="32"/>
          <w:lang w:val="zh-CN" w:bidi="zh-CN"/>
        </w:rPr>
        <w:t>，为技能人才提供</w:t>
      </w:r>
      <w:r>
        <w:rPr>
          <w:rFonts w:ascii="Times New Roman" w:eastAsia="仿宋_GB2312"/>
          <w:snapToGrid/>
          <w:szCs w:val="32"/>
          <w:lang w:bidi="zh-CN"/>
        </w:rPr>
        <w:t>创业指导</w:t>
      </w:r>
      <w:r>
        <w:rPr>
          <w:rFonts w:ascii="Times New Roman" w:eastAsia="仿宋_GB2312"/>
          <w:snapToGrid/>
          <w:szCs w:val="32"/>
          <w:lang w:val="zh-CN" w:bidi="zh-CN"/>
        </w:rPr>
        <w:t>、创业孵化、</w:t>
      </w:r>
      <w:r>
        <w:rPr>
          <w:rFonts w:ascii="Times New Roman" w:eastAsia="仿宋_GB2312"/>
          <w:snapToGrid/>
          <w:szCs w:val="32"/>
          <w:lang w:bidi="zh-CN"/>
        </w:rPr>
        <w:t>创业提升</w:t>
      </w:r>
      <w:r>
        <w:rPr>
          <w:rFonts w:ascii="Times New Roman" w:eastAsia="仿宋_GB2312"/>
          <w:snapToGrid/>
          <w:szCs w:val="32"/>
          <w:lang w:val="zh-CN" w:bidi="zh-CN"/>
        </w:rPr>
        <w:t>等全方位、全链条支持。优化创业者交流平台，厚植创业创新文化，不断建立健全创业失败保障帮扶和激励机制，全力营造鼓励创业、宽容失败的良好社会氛围，助力打造“创业者乐园、创新者天堂”。</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4</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实施职业生涯全周期技能培训。</w:t>
      </w:r>
      <w:r>
        <w:rPr>
          <w:rFonts w:ascii="Times New Roman" w:eastAsia="仿宋_GB2312"/>
          <w:snapToGrid/>
          <w:szCs w:val="32"/>
          <w:lang w:val="zh-CN" w:bidi="zh-CN"/>
        </w:rPr>
        <w:t>实施职业技能提升工程，健全终身职业技能培训体系，更大规模开展职业技能培训。聚焦先进制造业、战略性新兴产业、现代服务业等重点领域，加大新职业新技能培训力度。创新劳动者培训方式，积极开展符合</w:t>
      </w:r>
      <w:r>
        <w:rPr>
          <w:rFonts w:ascii="Times New Roman" w:eastAsia="仿宋_GB2312"/>
          <w:snapToGrid/>
          <w:szCs w:val="32"/>
          <w:lang w:bidi="zh-CN"/>
        </w:rPr>
        <w:t>太仓</w:t>
      </w:r>
      <w:r>
        <w:rPr>
          <w:rFonts w:ascii="Times New Roman" w:eastAsia="仿宋_GB2312"/>
          <w:snapToGrid/>
          <w:szCs w:val="32"/>
          <w:lang w:val="zh-CN" w:bidi="zh-CN"/>
        </w:rPr>
        <w:t>产业特色和发展实际的项目制培训和企业新型学徒制培训，实现产业升级和劳动者素质提高的良性互动。支持企业建立健全现代企业职工培训制度，不断提升职工技能水平和创新能力。深化“互联网+职业培训”模式建设，做强职业技能培训网络学习平台。</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5</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提升人力资源市场化配置效率。</w:t>
      </w:r>
      <w:r>
        <w:rPr>
          <w:rFonts w:ascii="Times New Roman" w:eastAsia="仿宋_GB2312"/>
          <w:snapToGrid/>
          <w:szCs w:val="32"/>
          <w:lang w:val="zh-CN" w:bidi="zh-CN"/>
        </w:rPr>
        <w:t>把人力资源服务业纳入经济社会发展总体布局，推动人力资源服务行业和先进产业深度融合，</w:t>
      </w:r>
      <w:r>
        <w:rPr>
          <w:rFonts w:ascii="Times New Roman" w:eastAsia="仿宋_GB2312"/>
          <w:snapToGrid/>
          <w:szCs w:val="32"/>
          <w:lang w:bidi="zh-CN"/>
        </w:rPr>
        <w:t>进一步完善</w:t>
      </w:r>
      <w:r>
        <w:rPr>
          <w:rFonts w:ascii="Times New Roman" w:eastAsia="仿宋_GB2312"/>
          <w:snapToGrid/>
          <w:szCs w:val="32"/>
          <w:lang w:val="zh-CN" w:bidi="zh-CN"/>
        </w:rPr>
        <w:t>全域统一规范、便捷高效的人力资源市场</w:t>
      </w:r>
      <w:r>
        <w:rPr>
          <w:rFonts w:ascii="Times New Roman" w:eastAsia="仿宋_GB2312"/>
          <w:snapToGrid/>
          <w:szCs w:val="32"/>
          <w:lang w:bidi="zh-CN"/>
        </w:rPr>
        <w:t>体系</w:t>
      </w:r>
      <w:r>
        <w:rPr>
          <w:rFonts w:ascii="Times New Roman" w:eastAsia="仿宋_GB2312"/>
          <w:snapToGrid/>
          <w:szCs w:val="32"/>
          <w:lang w:val="zh-CN" w:bidi="zh-CN"/>
        </w:rPr>
        <w:t>。积极稳妥促进共享用工，引导劳动力要素合理畅通有序流动。加快推进人力资源行业数字化智能化转型发展，技术赋能精准对接产业需求。大力引进国（境）内外知名人力资源服务品牌，加强骨干企业培育和行业领军人才培养，促进人力资源服务业高端化、国际化、规模化发展。探索与周边地区建立人力资源调剂合作机制及平台，促进跨区域人力资源高效配置。支持各类劳动力市场、人才市场、零工市场建设。</w:t>
      </w:r>
      <w:r>
        <w:rPr>
          <w:rFonts w:ascii="Times New Roman" w:eastAsia="仿宋_GB2312"/>
          <w:snapToGrid/>
          <w:szCs w:val="32"/>
          <w:lang w:bidi="zh-CN"/>
        </w:rPr>
        <w:t>探索</w:t>
      </w:r>
      <w:r>
        <w:rPr>
          <w:rFonts w:ascii="Times New Roman" w:eastAsia="仿宋_GB2312"/>
          <w:snapToGrid/>
          <w:szCs w:val="32"/>
          <w:lang w:val="zh-CN" w:bidi="zh-CN"/>
        </w:rPr>
        <w:t>组建运作国有人力资源公司，更大力度示范引领行业发展。</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（二）奋力在推动社保更加规范更可持续发展上实现大跃升。</w:t>
      </w:r>
      <w:r>
        <w:rPr>
          <w:rFonts w:ascii="Times New Roman" w:eastAsia="仿宋_GB2312"/>
          <w:snapToGrid/>
          <w:szCs w:val="32"/>
          <w:lang w:val="zh-CN" w:bidi="zh-CN"/>
        </w:rPr>
        <w:t>加快健全覆盖全民、城乡统筹、权责清晰、保障适度、可持续的多层次多支柱社会保障体系，厚植社保体系建设新优势。</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6</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巩固扩大全民参保成果。</w:t>
      </w:r>
      <w:r>
        <w:rPr>
          <w:rFonts w:ascii="Times New Roman" w:eastAsia="仿宋_GB2312"/>
          <w:snapToGrid/>
          <w:szCs w:val="32"/>
          <w:lang w:val="zh-CN" w:bidi="zh-CN"/>
        </w:rPr>
        <w:t>全面实施《苏州市灵活就业人员参加社会保险办法》，完善适应新就业形态的社保政策和运行机制，更大力度将在城镇稳定就业的农民工纳入企业职工社会保险，努力实现法定人员全覆盖。建立新就业形态从业人员职业伤害保障制度，做好非全日制从业人员参加工伤保险扩面工作，探索小微企业优先参加工伤保险和通勤类工伤补充商业保险，实施多重劳动关系人员、实习生和超过法定退休年龄人员在继续就业期间参加工伤保险。</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7</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完善社会保险制度体系。</w:t>
      </w:r>
      <w:r>
        <w:rPr>
          <w:rFonts w:ascii="Times New Roman" w:eastAsia="仿宋_GB2312"/>
          <w:snapToGrid/>
          <w:szCs w:val="32"/>
          <w:lang w:val="zh-CN" w:bidi="zh-CN"/>
        </w:rPr>
        <w:t>落实企业职工基本养老保险全国统筹，稳步实施渐进式延迟退休年龄的政策。推进机关事业单位养老保险制度平稳运行，完善城乡居民基本养老保险制度和被征地农民社会保障政策。积极构建以基本养老保险为基础、以企业（职业）年金为补充、与个人储蓄型养老保险和商业养老保险相衔接的多层次、多支柱养老保险体系。大力推动企业（职业）年金发展，加快推进高层次人才、机关事业单位编外人员建立企业年金集合计划。探索建立多层次工伤保险制度体系，完善预防、康复、补偿“三位一体”制度。落实工伤保险省级统筹，推动工伤预防五年行动计划实施和工伤康复“两个延伸”服务机制建设。优化企业退休人员社会化管理服务，擦亮“乐龄</w:t>
      </w:r>
      <w:r>
        <w:rPr>
          <w:rFonts w:ascii="Times New Roman" w:eastAsia="仿宋_GB2312"/>
          <w:snapToGrid/>
          <w:szCs w:val="32"/>
          <w:lang w:bidi="zh-CN"/>
        </w:rPr>
        <w:t>太仓</w:t>
      </w:r>
      <w:r>
        <w:rPr>
          <w:rFonts w:ascii="Times New Roman" w:eastAsia="仿宋_GB2312"/>
          <w:snapToGrid/>
          <w:szCs w:val="32"/>
          <w:lang w:val="zh-CN" w:bidi="zh-CN"/>
        </w:rPr>
        <w:t>，社保添福”工作品牌，建设乐龄养老首善城市。</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8</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健全待遇正常调整机制。</w:t>
      </w:r>
      <w:r>
        <w:rPr>
          <w:rFonts w:ascii="Times New Roman" w:eastAsia="仿宋_GB2312"/>
          <w:snapToGrid/>
          <w:szCs w:val="32"/>
          <w:lang w:val="zh-CN" w:bidi="zh-CN"/>
        </w:rPr>
        <w:t>落实养老金合理调整机制，综合考虑物价上涨、职工平均工资增长和基金承受能力等因素，统筹推进机关事业单位和企业退休人员基本养老金、城乡居民基础养老金等正常调整机制。按照保持合理梯度原则，探索建立兼顾各类群体的待遇合理增长机制。落实失业保险金标准调整、失业保险降费率、稳岗返还等政策，进一步发挥失业保险维护社会稳定功能。执行全省统一的工伤保险待遇调整方案、住院期间伙食补助、食宿费标准，稳步提高工伤职工定期待遇水平。</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9</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提升社保基金监管能力。</w:t>
      </w:r>
      <w:r>
        <w:rPr>
          <w:rFonts w:ascii="Times New Roman" w:eastAsia="仿宋_GB2312"/>
          <w:snapToGrid/>
          <w:szCs w:val="32"/>
          <w:lang w:val="zh-CN" w:bidi="zh-CN"/>
        </w:rPr>
        <w:t>完善社会保险基金管理风险防控制度，健全政策、经办、信息、监督“四位一体”风险防控体系。运用信息化手段，构建现场监督与非现场监督、内部监督与外部监督、事前风险防控和事后监督检查有机结合的立体监督体系，实现基金监管专业化和常态化。强化社会保障领域行政执法监督，以零容忍态度严厉打击欺诈骗保、贪污、挤占挪用各类社会保障资金的违法行为。</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（三）奋力在推动人才集聚更加积极更加开放上实现大跃升。</w:t>
      </w:r>
      <w:r>
        <w:rPr>
          <w:rFonts w:ascii="Times New Roman" w:eastAsia="仿宋_GB2312"/>
          <w:snapToGrid/>
          <w:szCs w:val="32"/>
          <w:lang w:val="zh-CN" w:bidi="zh-CN"/>
        </w:rPr>
        <w:t>围绕产业链巩固人才链、完善政策链，着力构建人才需求与供给动态平衡的引育体系，厚植人才创新驱动新优势。</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10</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构筑引才育才留才新格局。</w:t>
      </w:r>
      <w:r>
        <w:rPr>
          <w:rFonts w:ascii="Times New Roman" w:eastAsia="仿宋_GB2312"/>
          <w:snapToGrid/>
          <w:szCs w:val="32"/>
          <w:lang w:val="zh-CN" w:bidi="zh-CN"/>
        </w:rPr>
        <w:t>打好政策纳才、柔性引才、项目揽才、活动聚才、校园招才、环境留才组合拳，推动各类人才政策服务聚焦</w:t>
      </w:r>
      <w:r>
        <w:rPr>
          <w:rFonts w:ascii="Times New Roman" w:eastAsia="仿宋_GB2312"/>
          <w:snapToGrid/>
          <w:szCs w:val="32"/>
          <w:lang w:bidi="zh-CN"/>
        </w:rPr>
        <w:t>太仓</w:t>
      </w:r>
      <w:r>
        <w:rPr>
          <w:rFonts w:ascii="Times New Roman" w:eastAsia="仿宋_GB2312"/>
          <w:snapToGrid/>
          <w:szCs w:val="32"/>
          <w:lang w:val="zh-CN" w:bidi="zh-CN"/>
        </w:rPr>
        <w:t>发展急需，拓展重点产业紧缺人才覆盖面和匹配度。推动人才政策不断提档升级，破除人才流动障碍，探索人才政策享受与户口、社保等岗位条件脱钩管理新举措。强化全方位引才矩阵作用，持续提升“</w:t>
      </w:r>
      <w:r>
        <w:rPr>
          <w:rFonts w:ascii="Times New Roman" w:eastAsia="仿宋_GB2312"/>
          <w:snapToGrid/>
          <w:szCs w:val="32"/>
          <w:lang w:bidi="zh-CN"/>
        </w:rPr>
        <w:t>创赢太仓</w:t>
      </w:r>
      <w:r>
        <w:rPr>
          <w:rFonts w:ascii="Times New Roman" w:eastAsia="仿宋_GB2312"/>
          <w:snapToGrid/>
          <w:szCs w:val="32"/>
          <w:lang w:val="zh-CN" w:bidi="zh-CN"/>
        </w:rPr>
        <w:t>”</w:t>
      </w:r>
      <w:r>
        <w:rPr>
          <w:rFonts w:ascii="Times New Roman" w:eastAsia="仿宋_GB2312"/>
          <w:snapToGrid/>
          <w:szCs w:val="32"/>
          <w:lang w:bidi="zh-CN"/>
        </w:rPr>
        <w:t>全球创业大赛</w:t>
      </w:r>
      <w:r>
        <w:rPr>
          <w:rFonts w:ascii="Times New Roman" w:eastAsia="仿宋_GB2312"/>
          <w:snapToGrid/>
          <w:szCs w:val="32"/>
          <w:lang w:val="zh-CN" w:bidi="zh-CN"/>
        </w:rPr>
        <w:t>品牌效应，加大各类创业大赛与人才计划的衔接，扩大“离岸孵化”“飞地引才”点位布局。进一步集成校（院）地政策，更大力度支持在</w:t>
      </w:r>
      <w:r>
        <w:rPr>
          <w:rFonts w:ascii="Times New Roman" w:eastAsia="仿宋_GB2312"/>
          <w:snapToGrid/>
          <w:szCs w:val="32"/>
          <w:lang w:bidi="zh-CN"/>
        </w:rPr>
        <w:t>太</w:t>
      </w:r>
      <w:r>
        <w:rPr>
          <w:rFonts w:ascii="Times New Roman" w:eastAsia="仿宋_GB2312"/>
          <w:snapToGrid/>
          <w:szCs w:val="32"/>
          <w:lang w:val="zh-CN" w:bidi="zh-CN"/>
        </w:rPr>
        <w:t>高等院校、科研院所引进顶尖型、领军型和骨干型人才。</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11</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集聚青年人才生力军。</w:t>
      </w:r>
      <w:r>
        <w:rPr>
          <w:rFonts w:ascii="Times New Roman" w:eastAsia="仿宋_GB2312"/>
          <w:snapToGrid/>
          <w:szCs w:val="32"/>
          <w:lang w:val="zh-CN" w:bidi="zh-CN"/>
        </w:rPr>
        <w:t>抢抓海外人才回流机遇，充分发挥企事业单位主体作用，完善留学人员服务体系，开展海外引才系列活动，建设线上线下一体化的海外人才服务平台，大力引进海外智力。</w:t>
      </w:r>
      <w:r>
        <w:rPr>
          <w:rFonts w:ascii="Times New Roman" w:eastAsia="仿宋_GB2312"/>
          <w:snapToGrid/>
          <w:szCs w:val="32"/>
          <w:lang w:bidi="zh-CN"/>
        </w:rPr>
        <w:t>依托</w:t>
      </w:r>
      <w:r>
        <w:rPr>
          <w:rFonts w:ascii="Times New Roman" w:eastAsia="仿宋_GB2312"/>
          <w:snapToGrid/>
          <w:szCs w:val="32"/>
          <w:lang w:val="zh-CN" w:bidi="zh-CN"/>
        </w:rPr>
        <w:t>太仓—上海交大博士后创新中心，强化与沪上科研院所、重大科技平台</w:t>
      </w:r>
      <w:r>
        <w:rPr>
          <w:rFonts w:ascii="Times New Roman" w:eastAsia="仿宋_GB2312"/>
          <w:snapToGrid/>
          <w:szCs w:val="32"/>
          <w:lang w:bidi="zh-CN"/>
        </w:rPr>
        <w:t>的</w:t>
      </w:r>
      <w:r>
        <w:rPr>
          <w:rFonts w:ascii="Times New Roman" w:eastAsia="仿宋_GB2312"/>
          <w:snapToGrid/>
          <w:szCs w:val="32"/>
          <w:lang w:val="zh-CN" w:bidi="zh-CN"/>
        </w:rPr>
        <w:t>对接合作，吸引各类优秀博士后来</w:t>
      </w:r>
      <w:r>
        <w:rPr>
          <w:rFonts w:ascii="Times New Roman" w:eastAsia="仿宋_GB2312"/>
          <w:snapToGrid/>
          <w:szCs w:val="32"/>
          <w:lang w:bidi="zh-CN"/>
        </w:rPr>
        <w:t>太</w:t>
      </w:r>
      <w:r>
        <w:rPr>
          <w:rFonts w:ascii="Times New Roman" w:eastAsia="仿宋_GB2312"/>
          <w:snapToGrid/>
          <w:szCs w:val="32"/>
          <w:lang w:val="zh-CN" w:bidi="zh-CN"/>
        </w:rPr>
        <w:t>创新创业。放大“校园苏州日</w:t>
      </w:r>
      <w:r>
        <w:rPr>
          <w:rFonts w:ascii="Times New Roman" w:eastAsia="微软雅黑"/>
          <w:snapToGrid/>
          <w:szCs w:val="32"/>
          <w:lang w:val="zh-CN" w:bidi="zh-CN"/>
        </w:rPr>
        <w:t>•</w:t>
      </w:r>
      <w:r>
        <w:rPr>
          <w:rFonts w:ascii="Times New Roman" w:eastAsia="仿宋_GB2312"/>
          <w:snapToGrid/>
          <w:szCs w:val="32"/>
          <w:lang w:bidi="zh-CN"/>
        </w:rPr>
        <w:t>太仓专场</w:t>
      </w:r>
      <w:r>
        <w:rPr>
          <w:rFonts w:ascii="Times New Roman" w:eastAsia="仿宋_GB2312"/>
          <w:snapToGrid/>
          <w:szCs w:val="32"/>
          <w:lang w:val="zh-CN" w:bidi="zh-CN"/>
        </w:rPr>
        <w:t>”品牌效应，深化专业化青年人才定岗特选计划、知名高校大学生暑期实习计划，有针对性地锁定名校优质生源。鼓励企业与全国一流高校开展合作，共建校园引智基地。</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12</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创新人才评价体制机制。</w:t>
      </w:r>
      <w:r>
        <w:rPr>
          <w:rFonts w:ascii="Times New Roman" w:eastAsia="仿宋_GB2312"/>
          <w:snapToGrid/>
          <w:szCs w:val="32"/>
          <w:lang w:val="zh-CN" w:bidi="zh-CN"/>
        </w:rPr>
        <w:t>深化企业职称自主评审，构建覆盖</w:t>
      </w:r>
      <w:r>
        <w:rPr>
          <w:rFonts w:ascii="Times New Roman" w:eastAsia="仿宋_GB2312"/>
          <w:snapToGrid/>
          <w:szCs w:val="32"/>
          <w:lang w:bidi="zh-CN"/>
        </w:rPr>
        <w:t>太仓</w:t>
      </w:r>
      <w:r>
        <w:rPr>
          <w:rFonts w:ascii="Times New Roman" w:eastAsia="仿宋_GB2312"/>
          <w:snapToGrid/>
          <w:szCs w:val="32"/>
          <w:lang w:val="zh-CN" w:bidi="zh-CN"/>
        </w:rPr>
        <w:t>市重点产业和先导产业，以龙头企业为主体的行业分类评价体系。编制完善工程系列国际职业资格比照认定目录，纳入更多市场急需、企业认可、人才关注的国际职业资格，提升比照职称体系完整性，与德国等工程类评价体系较完善的国家建立评价结果互认机制。探索建立技能人才多元化评价机制，完善技能人才职业资格评价、职业技能等级认定、专项职业能力考核评价标准。深化技能人才评价制度改革，支持企业开展技能人才自主评价，支持社会力量开发制定行业企业评价规范。</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13</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壮大高技能人才队伍。</w:t>
      </w:r>
      <w:r>
        <w:rPr>
          <w:rFonts w:ascii="Times New Roman" w:eastAsia="仿宋_GB2312"/>
          <w:snapToGrid/>
          <w:szCs w:val="32"/>
          <w:lang w:val="zh-CN" w:bidi="zh-CN"/>
        </w:rPr>
        <w:t>聚焦实施“技能中国行动”，深化产教融合、校企合作，结合产业发展需要，支持职业院校增挂技工学校和技师学院校牌，围绕重点产业、新兴产业，推动技工院校专业设置。积极开展“金蓝领”培育工程，强化精准培训，加快创新型、应用型、技能型人才培养。按照区域经济和产业发展需求，建设一批高技能人才专项公共实训基地，推进培训资源共建共享。持续开展技能大师工作室评选，充分发挥企业高技能领军人才在带徒传技、技能攻关、技艺传承、技能推广等方面的重要作用。弘扬劳模精神、劳动精神、工匠精神，持续举办太仓市职业技能大赛、“太仓杯”中德高端制造工匠技能挑战赛和“娄东工匠”全城寻访活动。</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14</w:t>
      </w:r>
      <w:r>
        <w:rPr>
          <w:rFonts w:hint="eastAsia" w:ascii="Times New Roman" w:eastAsia="仿宋_GB2312"/>
          <w:b/>
          <w:bCs/>
          <w:snapToGrid/>
          <w:szCs w:val="32"/>
          <w:lang w:bidi="zh-CN"/>
        </w:rPr>
        <w:t xml:space="preserve">. </w:t>
      </w:r>
      <w:r>
        <w:rPr>
          <w:rFonts w:ascii="Times New Roman" w:eastAsia="仿宋_GB2312"/>
          <w:b/>
          <w:bCs/>
          <w:snapToGrid/>
          <w:szCs w:val="32"/>
          <w:lang w:bidi="zh-CN"/>
        </w:rPr>
        <w:t>提供</w:t>
      </w:r>
      <w:r>
        <w:rPr>
          <w:rFonts w:ascii="Times New Roman" w:eastAsia="仿宋_GB2312"/>
          <w:b/>
          <w:bCs/>
          <w:snapToGrid/>
          <w:szCs w:val="32"/>
          <w:lang w:val="zh-CN" w:bidi="zh-CN"/>
        </w:rPr>
        <w:t>最舒心人才服务。</w:t>
      </w:r>
      <w:r>
        <w:rPr>
          <w:rFonts w:ascii="Times New Roman" w:eastAsia="仿宋_GB2312"/>
          <w:snapToGrid/>
          <w:szCs w:val="32"/>
          <w:lang w:val="zh-CN" w:bidi="zh-CN"/>
        </w:rPr>
        <w:t>提升公共服务和基础服务质量，完善高层次人才数据库，打造“前端引进、中期扶持、后续服务”一站式服务平台。强化条块联动，进一步提升高层次人才一站式服务网络整体运作水平。</w:t>
      </w:r>
      <w:r>
        <w:rPr>
          <w:rFonts w:ascii="Times New Roman" w:eastAsia="仿宋_GB2312"/>
          <w:snapToGrid/>
          <w:szCs w:val="32"/>
          <w:lang w:bidi="zh-CN"/>
        </w:rPr>
        <w:t>根据</w:t>
      </w:r>
      <w:r>
        <w:rPr>
          <w:rFonts w:ascii="Times New Roman" w:eastAsia="仿宋_GB2312"/>
          <w:snapToGrid/>
          <w:szCs w:val="32"/>
          <w:lang w:val="zh-CN" w:bidi="zh-CN"/>
        </w:rPr>
        <w:t>太仓高层次人才需求目录，鼓励人才猎头中介参与海外高层次人才寻访，支持高端猎头、“人才贷”等服务业纵深发展。健全政府购买专门服务制度，引入更多社会组织参与人才服务。</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w:t>
      </w:r>
      <w:r>
        <w:rPr>
          <w:rFonts w:ascii="Times New Roman" w:eastAsia="楷体_GB2312"/>
          <w:snapToGrid/>
          <w:szCs w:val="32"/>
          <w:lang w:bidi="zh-CN"/>
        </w:rPr>
        <w:t>四</w:t>
      </w:r>
      <w:r>
        <w:rPr>
          <w:rFonts w:ascii="Times New Roman" w:eastAsia="楷体_GB2312"/>
          <w:snapToGrid/>
          <w:szCs w:val="32"/>
          <w:lang w:val="zh-CN" w:bidi="zh-CN"/>
        </w:rPr>
        <w:t>）奋力在推动和谐劳动关系更重法治更高效能上实现大跃升。</w:t>
      </w:r>
      <w:r>
        <w:rPr>
          <w:rFonts w:ascii="Times New Roman" w:eastAsia="仿宋_GB2312"/>
          <w:snapToGrid/>
          <w:szCs w:val="32"/>
          <w:lang w:val="zh-CN" w:bidi="zh-CN"/>
        </w:rPr>
        <w:t>加强协调劳动关系体制、机制和能力改革创新，努力构建符合时代特征、</w:t>
      </w:r>
      <w:r>
        <w:rPr>
          <w:rFonts w:ascii="Times New Roman" w:eastAsia="仿宋_GB2312"/>
          <w:snapToGrid/>
          <w:szCs w:val="32"/>
          <w:lang w:bidi="zh-CN"/>
        </w:rPr>
        <w:t>太仓</w:t>
      </w:r>
      <w:r>
        <w:rPr>
          <w:rFonts w:ascii="Times New Roman" w:eastAsia="仿宋_GB2312"/>
          <w:snapToGrid/>
          <w:szCs w:val="32"/>
          <w:lang w:val="zh-CN" w:bidi="zh-CN"/>
        </w:rPr>
        <w:t>特色的和谐劳动关系治理体系，厚植和谐劳动关系新优势。</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15</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深化和谐劳动关系创建。</w:t>
      </w:r>
      <w:r>
        <w:rPr>
          <w:rFonts w:ascii="Times New Roman" w:eastAsia="仿宋_GB2312"/>
          <w:snapToGrid/>
          <w:szCs w:val="32"/>
          <w:lang w:val="zh-CN" w:bidi="zh-CN"/>
        </w:rPr>
        <w:t>深化构建和谐劳动关系综合配套改革</w:t>
      </w:r>
      <w:r>
        <w:rPr>
          <w:rFonts w:ascii="Times New Roman" w:eastAsia="仿宋_GB2312"/>
          <w:snapToGrid/>
          <w:szCs w:val="32"/>
          <w:lang w:bidi="zh-CN"/>
        </w:rPr>
        <w:t>工作</w:t>
      </w:r>
      <w:r>
        <w:rPr>
          <w:rFonts w:ascii="Times New Roman" w:eastAsia="仿宋_GB2312"/>
          <w:snapToGrid/>
          <w:szCs w:val="32"/>
          <w:lang w:val="zh-CN" w:bidi="zh-CN"/>
        </w:rPr>
        <w:t>，推动全市劳动关系治理水平整体提升。深化协调劳动关系三方组织形式和工作模式，推动协调劳动关系三方机制深度融入全市社会治理体系。发挥“</w:t>
      </w:r>
      <w:r>
        <w:rPr>
          <w:rFonts w:ascii="Times New Roman" w:eastAsia="仿宋_GB2312"/>
          <w:snapToGrid/>
          <w:szCs w:val="32"/>
          <w:lang w:bidi="zh-CN"/>
        </w:rPr>
        <w:t>太仓</w:t>
      </w:r>
      <w:r>
        <w:rPr>
          <w:rFonts w:ascii="Times New Roman" w:eastAsia="仿宋_GB2312"/>
          <w:snapToGrid/>
          <w:szCs w:val="32"/>
          <w:lang w:val="zh-CN" w:bidi="zh-CN"/>
        </w:rPr>
        <w:t>市劳动关系和谐企业协会”等社会组织积极作用，提高和谐创建培育指导水平。推动和谐劳动关系创建活动向中小企业拓展延伸，在小微企业集中区域建设和谐劳动关系服务站。健全完善和谐劳动关系创建活动的精准培育、评价认定、正向激励和动态退出机制。</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16</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完善劳动者收入分配机制。</w:t>
      </w:r>
      <w:r>
        <w:rPr>
          <w:rFonts w:ascii="Times New Roman" w:eastAsia="仿宋_GB2312"/>
          <w:snapToGrid/>
          <w:szCs w:val="32"/>
          <w:lang w:val="zh-CN" w:bidi="zh-CN"/>
        </w:rPr>
        <w:t>持续优化企业薪酬调查和信息发布体系，常态长效开展对</w:t>
      </w:r>
      <w:r>
        <w:rPr>
          <w:rFonts w:ascii="Times New Roman" w:eastAsia="仿宋_GB2312"/>
          <w:snapToGrid/>
          <w:szCs w:val="32"/>
          <w:lang w:bidi="zh-CN"/>
        </w:rPr>
        <w:t>太仓</w:t>
      </w:r>
      <w:r>
        <w:rPr>
          <w:rFonts w:ascii="Times New Roman" w:eastAsia="仿宋_GB2312"/>
          <w:snapToGrid/>
          <w:szCs w:val="32"/>
          <w:lang w:val="zh-CN" w:bidi="zh-CN"/>
        </w:rPr>
        <w:t>重点产业和先导产业领域细分薪酬调查，强化工资指导价位参考指导作用。梯次打造一批薪酬分配示范企业，以点带面引导企业建立职工工资正常增长机制，促进职工薪资水平合理有序增长。指导企业重点围绕职工薪酬福利开展工资集体协商，鼓励企业签订职工技术创新专项集体合同，引导企业建立技能导向的薪酬分配制度。</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17</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强化劳动者权益维护。</w:t>
      </w:r>
      <w:r>
        <w:rPr>
          <w:rFonts w:ascii="Times New Roman" w:eastAsia="仿宋_GB2312"/>
          <w:snapToGrid/>
          <w:szCs w:val="32"/>
          <w:lang w:val="zh-CN" w:bidi="zh-CN"/>
        </w:rPr>
        <w:t>贯彻落实《保障农民工工资支付条例》，建立健全工资支付保障长效机制，持续推进根治拖欠农民工工资工作。加强劳动保障监察制度建设，健全企业守法诚信等级评价体系，规范劳务派遣单位信用分类监管、劳动保障信誉单位等级评定、重大违法行为社会公布等工作。落实“双随机、一公开”监管机制，深入开展规范人力资源市场秩序等重点领域专项执法，完善多部门联合执法、行政执法与刑事司法衔接等机制，依法查处劳动关系领域违法行为。理顺和完善劳动保障监察行政执法体制机制，推动劳动保障监察网格转型升级。强化劳动保障监察执法能力建设，实施分级分类培训，加强执法装备配备。指导和督促企业落实新就业形态劳动者权益保障责任，依法维护劳动者权益。</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18</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提高劳动人事争议调处质效。</w:t>
      </w:r>
      <w:r>
        <w:rPr>
          <w:rFonts w:ascii="Times New Roman" w:eastAsia="仿宋_GB2312"/>
          <w:snapToGrid/>
          <w:szCs w:val="32"/>
          <w:lang w:val="zh-CN" w:bidi="zh-CN"/>
        </w:rPr>
        <w:t>深化完善劳动人事争议案件繁简分流机制。健全裁审衔接机制，统一法律适用标准和裁审口径，形成实体案件反馈闭环机制。</w:t>
      </w:r>
      <w:r>
        <w:rPr>
          <w:rFonts w:ascii="Times New Roman" w:eastAsia="仿宋_GB2312"/>
          <w:snapToGrid/>
          <w:szCs w:val="32"/>
          <w:lang w:bidi="zh-CN"/>
        </w:rPr>
        <w:t>落实</w:t>
      </w:r>
      <w:r>
        <w:rPr>
          <w:rFonts w:ascii="Times New Roman" w:eastAsia="仿宋_GB2312"/>
          <w:snapToGrid/>
          <w:szCs w:val="32"/>
          <w:lang w:val="zh-CN" w:bidi="zh-CN"/>
        </w:rPr>
        <w:t>劳动人事争议仲裁案件“一点受理、全市联动”全域受理机制，依托省一体化平台实现全域受理线上、线下双轨制运行，全面畅通当事人维权渠道。加强基层调解组织建设，优化多元化解机制。健全完善专、兼职仲裁员激励机制。</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w:t>
      </w:r>
      <w:r>
        <w:rPr>
          <w:rFonts w:ascii="Times New Roman" w:eastAsia="楷体_GB2312"/>
          <w:snapToGrid/>
          <w:szCs w:val="32"/>
          <w:lang w:bidi="zh-CN"/>
        </w:rPr>
        <w:t>五</w:t>
      </w:r>
      <w:r>
        <w:rPr>
          <w:rFonts w:ascii="Times New Roman" w:eastAsia="楷体_GB2312"/>
          <w:snapToGrid/>
          <w:szCs w:val="32"/>
          <w:lang w:val="zh-CN" w:bidi="zh-CN"/>
        </w:rPr>
        <w:t>）奋力在推动人事管理更重科学更具活力上实现大跃升。</w:t>
      </w:r>
      <w:r>
        <w:rPr>
          <w:rFonts w:ascii="Times New Roman" w:eastAsia="仿宋_GB2312"/>
          <w:snapToGrid/>
          <w:szCs w:val="32"/>
          <w:lang w:val="zh-CN" w:bidi="zh-CN"/>
        </w:rPr>
        <w:t>持续推进事业单位人事制度改革，深化专业化青年人才定岗特选计划，完善企事业工资收入分配制度，加强评比表彰综合管理，厚植人事科学管理新优势。</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19</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深化事业单位人事管理。</w:t>
      </w:r>
      <w:r>
        <w:rPr>
          <w:rFonts w:ascii="Times New Roman" w:eastAsia="仿宋_GB2312"/>
          <w:snapToGrid/>
          <w:szCs w:val="32"/>
          <w:lang w:val="zh-CN" w:bidi="zh-CN"/>
        </w:rPr>
        <w:t>建立健全符合分类推进事业单位改革要求和人才成长规律的事业单位人事管理制度。推行县以下事业单位管理岗位职员等级晋升改革。建立健全高校人员总量人事管理制度。完善事业单位公开招聘、岗位管理和交流制度。总结定岗特选工作经验，支持和鼓励采取综合素质评价、专家考核评议等方式引进高层次人才和紧缺专业人才，优化高层次人才使用政策。推动建立事业单位人事管理权责清单，健全事业单位人事管理监督制度。</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20</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推进企事业收入分配制度改革。</w:t>
      </w:r>
      <w:r>
        <w:rPr>
          <w:rFonts w:ascii="Times New Roman" w:eastAsia="仿宋_GB2312"/>
          <w:snapToGrid/>
          <w:szCs w:val="32"/>
          <w:lang w:val="zh-CN" w:bidi="zh-CN"/>
        </w:rPr>
        <w:t>探索建立符合事业单位行业特点的收入分配制度，落实基本工资标准正常调整机制、特殊岗位津贴补贴制度，合理确定绩效工资水平。深化高校、公立医院薪酬制度改革。完善高层次人才工资分配激励机制。完善事业单位主要领导收入分配激励约束机制。完善事业单位工作人员福利制度。深化国有企业工资收入分配制度改革，完善国有企业负责人薪酬和工资总额管理政策，健全国有企业市场化薪酬分配机制，加强国有企业工资内外收入监督管理。</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21</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强化表彰奖励示范引领。</w:t>
      </w:r>
      <w:r>
        <w:rPr>
          <w:rFonts w:ascii="Times New Roman" w:eastAsia="仿宋_GB2312"/>
          <w:snapToGrid/>
          <w:szCs w:val="32"/>
          <w:lang w:val="zh-CN" w:bidi="zh-CN"/>
        </w:rPr>
        <w:t>健全完善奖励激励制度体系，贯彻落实表彰奖励获得者待遇和生活困难表彰奖励获得者帮扶等规定。严格创建达标评比活动项目申报和管理。加大对表彰奖励获得者事迹的宣传力度，加强先进模范人物管理和服务。</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22</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提升人事考试服务核心能力。</w:t>
      </w:r>
      <w:r>
        <w:rPr>
          <w:rFonts w:ascii="Times New Roman" w:eastAsia="仿宋_GB2312"/>
          <w:snapToGrid/>
          <w:szCs w:val="32"/>
          <w:lang w:val="zh-CN" w:bidi="zh-CN"/>
        </w:rPr>
        <w:t>建设人事考试统一监控平台，提升考试数字化水平</w:t>
      </w:r>
      <w:r>
        <w:rPr>
          <w:rFonts w:ascii="Times New Roman" w:eastAsia="仿宋_GB2312"/>
          <w:snapToGrid/>
          <w:szCs w:val="32"/>
          <w:lang w:bidi="zh-CN"/>
        </w:rPr>
        <w:t>和</w:t>
      </w:r>
      <w:r>
        <w:rPr>
          <w:rFonts w:ascii="Times New Roman" w:eastAsia="仿宋_GB2312"/>
          <w:snapToGrid/>
          <w:szCs w:val="32"/>
          <w:lang w:val="zh-CN" w:bidi="zh-CN"/>
        </w:rPr>
        <w:t>服务能力。加强考务工作标准化建设，优化工作流程、操作规范和关键环节检验机制，努力确保人事考试安全。</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（六）奋力在推动形成人社服务更加智慧更为精准上实现</w:t>
      </w:r>
      <w:r>
        <w:rPr>
          <w:rFonts w:ascii="Times New Roman" w:eastAsia="楷体_GB2312"/>
          <w:snapToGrid/>
          <w:szCs w:val="32"/>
          <w:lang w:bidi="zh-CN"/>
        </w:rPr>
        <w:t>大</w:t>
      </w:r>
      <w:r>
        <w:rPr>
          <w:rFonts w:ascii="Times New Roman" w:eastAsia="楷体_GB2312"/>
          <w:snapToGrid/>
          <w:szCs w:val="32"/>
          <w:lang w:val="zh-CN" w:bidi="zh-CN"/>
        </w:rPr>
        <w:t>跃升。</w:t>
      </w:r>
      <w:r>
        <w:rPr>
          <w:rFonts w:ascii="Times New Roman" w:eastAsia="仿宋_GB2312"/>
          <w:snapToGrid/>
          <w:szCs w:val="32"/>
          <w:lang w:val="zh-CN" w:bidi="zh-CN"/>
        </w:rPr>
        <w:t>推动人社服务一体化、智慧化、现代化发展，协同推进长三角地区一网通办，着力构建上下一体、左右互通、均等高效的人社服务新格局，厚植人社公共服务新优势。</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23</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提升公共服务数字化水平。</w:t>
      </w:r>
      <w:r>
        <w:rPr>
          <w:rFonts w:ascii="Times New Roman" w:eastAsia="仿宋_GB2312"/>
          <w:snapToGrid/>
          <w:szCs w:val="32"/>
          <w:lang w:val="zh-CN" w:bidi="zh-CN"/>
        </w:rPr>
        <w:t>以省一体化信息平台为依托，全面规范人社领域各窗口条线业务管理，推动人社业务经办和信息管理由线下分散向线上集中转变。推动市级人社数据跨层级、跨部门共享，提升信息系统对业务发展、服务提升的基础支撑作用，实现全市人社服务“一网通办”和综合柜员服务。全面深化人社大数据应用，健全数据归集和共享应用机制，推进电子证照、电子档案袋、信用监管等大数据应用，开发更多数字化产品，丰富应用场景。加强人社数据资源安全保障和隐私保护，促进与相关部门数据资源共享共用。深化江苏省社会保障卡（三代卡）“一卡通”应用，努力使群众更宽领域更广范围享受更多发展成果和便利。积极推进人社12333热线与12345便民服务热线的归并衔接、提档升级，全面提升满意度。</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24</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推进公共服务规范化建设。</w:t>
      </w:r>
      <w:r>
        <w:rPr>
          <w:rFonts w:ascii="Times New Roman" w:eastAsia="仿宋_GB2312"/>
          <w:snapToGrid/>
          <w:szCs w:val="32"/>
          <w:lang w:val="zh-CN" w:bidi="zh-CN"/>
        </w:rPr>
        <w:t>进一步改进和优化业务流程，推动线下实体网点与线上互联网服务深度融合。全面实施人社基本公共服务标准化管理，健全人社公共服务标准体系，完善服务流程、设施设备、人员配备等软硬件标准。深入实施“人社服务快办行动”，大力推广综合柜员制，提升企业和群众办事体验，实现人社政务服务线上“一网”、线下“一门”、现场办理“最多跑一次”、异地事项“跨省通办”。拓宽扩展“免申请”经办模式应用广度力度，推动更多惠企政策“一出台就落地、对标准就享受”。</w:t>
      </w:r>
    </w:p>
    <w:p>
      <w:pPr>
        <w:snapToGrid/>
        <w:spacing w:line="590" w:lineRule="exact"/>
        <w:ind w:firstLine="643" w:firstLineChars="200"/>
        <w:rPr>
          <w:rFonts w:ascii="Times New Roman" w:eastAsia="仿宋_GB2312"/>
          <w:snapToGrid/>
          <w:szCs w:val="32"/>
          <w:lang w:val="zh-CN" w:bidi="zh-CN"/>
        </w:rPr>
      </w:pPr>
      <w:r>
        <w:rPr>
          <w:rFonts w:ascii="Times New Roman" w:eastAsia="仿宋_GB2312"/>
          <w:b/>
          <w:bCs/>
          <w:snapToGrid/>
          <w:szCs w:val="32"/>
          <w:lang w:bidi="zh-CN"/>
        </w:rPr>
        <w:t>25</w:t>
      </w:r>
      <w:r>
        <w:rPr>
          <w:rFonts w:hint="eastAsia" w:ascii="Times New Roman" w:eastAsia="仿宋_GB2312"/>
          <w:b/>
          <w:bCs/>
          <w:snapToGrid/>
          <w:szCs w:val="32"/>
          <w:lang w:bidi="zh-CN"/>
        </w:rPr>
        <w:t xml:space="preserve">. </w:t>
      </w:r>
      <w:r>
        <w:rPr>
          <w:rFonts w:ascii="Times New Roman" w:eastAsia="仿宋_GB2312"/>
          <w:b/>
          <w:bCs/>
          <w:snapToGrid/>
          <w:szCs w:val="32"/>
          <w:lang w:val="zh-CN" w:bidi="zh-CN"/>
        </w:rPr>
        <w:t>加强基层公共服务能力建设。</w:t>
      </w:r>
      <w:r>
        <w:rPr>
          <w:rFonts w:ascii="Times New Roman" w:eastAsia="仿宋_GB2312"/>
          <w:snapToGrid/>
          <w:szCs w:val="32"/>
          <w:lang w:val="zh-CN" w:bidi="zh-CN"/>
        </w:rPr>
        <w:t>加强人社系统队伍能力建设，探索建立人力资源社会保障公共服务从业人员继续教育制度，常态化、制度化开展全系统业务技能练兵，培树和宣传一批“人社业务通”“人社服务通”。建立公众满意度测评指标体系，完善落实“好差评”制度，常态化开展窗口明察暗访，健全监督问责机制。切实解决老年人运用智能技术困难，优化面向老年人的服务措施和服务方式。</w:t>
      </w:r>
    </w:p>
    <w:p>
      <w:pPr>
        <w:snapToGrid/>
        <w:spacing w:line="590" w:lineRule="exact"/>
        <w:ind w:firstLine="640" w:firstLineChars="200"/>
        <w:rPr>
          <w:rFonts w:ascii="Times New Roman" w:eastAsia="黑体"/>
          <w:snapToGrid/>
          <w:szCs w:val="32"/>
          <w:lang w:val="zh-CN" w:bidi="zh-CN"/>
        </w:rPr>
      </w:pPr>
      <w:r>
        <w:rPr>
          <w:rFonts w:ascii="Times New Roman" w:eastAsia="黑体"/>
          <w:snapToGrid/>
          <w:szCs w:val="32"/>
          <w:lang w:val="zh-CN" w:bidi="zh-CN"/>
        </w:rPr>
        <w:t>四、保障措施</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（一）加强组织领导。</w:t>
      </w:r>
      <w:r>
        <w:rPr>
          <w:rFonts w:ascii="Times New Roman" w:eastAsia="仿宋_GB2312"/>
          <w:snapToGrid/>
          <w:szCs w:val="32"/>
          <w:lang w:val="zh-CN" w:bidi="zh-CN"/>
        </w:rPr>
        <w:t>强化规划实施，把党的领导贯穿人社事业发展全过程，切实强化统筹协调、条块联动，形成推动人社事业高质量发展的强大合力，确保规划衔接有序、落实有度。</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（二）加强资金管理。</w:t>
      </w:r>
      <w:r>
        <w:rPr>
          <w:rFonts w:ascii="Times New Roman" w:eastAsia="仿宋_GB2312"/>
          <w:snapToGrid/>
          <w:szCs w:val="32"/>
          <w:lang w:val="zh-CN" w:bidi="zh-CN"/>
        </w:rPr>
        <w:t>加强财政预算与规划实施的衔接协调，争取有关部门对人社重大改革、重点项目的资金支持。实施预算绩效管理，强化审计监督，提高资金使用效益。</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（三）加强法治保障。</w:t>
      </w:r>
      <w:r>
        <w:rPr>
          <w:rFonts w:ascii="Times New Roman" w:eastAsia="仿宋_GB2312"/>
          <w:snapToGrid/>
          <w:szCs w:val="32"/>
          <w:lang w:val="zh-CN" w:bidi="zh-CN"/>
        </w:rPr>
        <w:t>持续加强人社系统干部队伍党风</w:t>
      </w:r>
      <w:r>
        <w:rPr>
          <w:rFonts w:ascii="Times New Roman" w:eastAsia="仿宋_GB2312"/>
          <w:snapToGrid/>
          <w:szCs w:val="32"/>
          <w:lang w:bidi="zh-CN"/>
        </w:rPr>
        <w:t>廉政</w:t>
      </w:r>
      <w:r>
        <w:rPr>
          <w:rFonts w:ascii="Times New Roman" w:eastAsia="仿宋_GB2312"/>
          <w:snapToGrid/>
          <w:szCs w:val="32"/>
          <w:lang w:val="zh-CN" w:bidi="zh-CN"/>
        </w:rPr>
        <w:t>和作风效能建设，全面推进“法治人社”建设，严格落实重大行政决策制度，全面规范行政执法行为。扎实做好行政复议和应诉工作，强化行政复议应诉队伍建设。持续深化“放管服”改革，定期组织“告知承诺制”回头看，加大失信人员惩戒力度。</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（四）加强舆论宣传。</w:t>
      </w:r>
      <w:r>
        <w:rPr>
          <w:rFonts w:ascii="Times New Roman" w:eastAsia="仿宋_GB2312"/>
          <w:snapToGrid/>
          <w:szCs w:val="32"/>
          <w:lang w:val="zh-CN" w:bidi="zh-CN"/>
        </w:rPr>
        <w:t>加大人社政策宣传力度，全方位、多角度开展宣传推介，主动向公众提供权威信息，提高政府决策的社会认同度和支持度。强化舆情收集管理，及时回应社会关切。</w:t>
      </w:r>
    </w:p>
    <w:p>
      <w:pPr>
        <w:snapToGrid/>
        <w:spacing w:line="590" w:lineRule="exact"/>
        <w:ind w:firstLine="640" w:firstLineChars="200"/>
        <w:rPr>
          <w:rFonts w:ascii="Times New Roman" w:eastAsia="仿宋_GB2312"/>
          <w:snapToGrid/>
          <w:szCs w:val="32"/>
          <w:lang w:val="zh-CN" w:bidi="zh-CN"/>
        </w:rPr>
      </w:pPr>
      <w:r>
        <w:rPr>
          <w:rFonts w:ascii="Times New Roman" w:eastAsia="楷体_GB2312"/>
          <w:snapToGrid/>
          <w:szCs w:val="32"/>
          <w:lang w:val="zh-CN" w:bidi="zh-CN"/>
        </w:rPr>
        <w:t>（五）加强监测评估。</w:t>
      </w:r>
      <w:r>
        <w:rPr>
          <w:rFonts w:ascii="Times New Roman" w:eastAsia="仿宋_GB2312"/>
          <w:snapToGrid/>
          <w:szCs w:val="32"/>
          <w:lang w:val="zh-CN" w:bidi="zh-CN"/>
        </w:rPr>
        <w:t>完善监测评估制度，制定规划目标任务分解落实方案和统计指标体系，强化对规划实施情况的跟踪监测。组织实施规划评估，检查规划落实情况，评价规划实施效果，分析实施中存在的问题，提出对策建议。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鼎简仿宋">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D0A96"/>
    <w:rsid w:val="006A5E20"/>
    <w:rsid w:val="5CFD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2022-02-09T08:10:00Z</dcterms:created>
  <dc:creator>庄伯阳</dc:creator>
  <cp:lastModifiedBy>庄伯阳</cp:lastModifiedBy>
  <dcterms:modified xsi:type="dcterms:W3CDTF">2022-02-09T08:11:12Z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F9797EA496B64A3DB963FC5BB2FA3D6C</vt:lpwstr>
  </property>
</Properties>
</file>