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colors1.xml" ContentType="application/vnd.ms-office.chartcolorstyle+xml"/>
  <Override PartName="/word/charts/chart/colors2.xml" ContentType="application/vnd.ms-office.chartcolorstyle+xml"/>
  <Override PartName="/word/charts/chart/colors3.xml" ContentType="application/vnd.ms-office.chartcolorstyle+xml"/>
  <Override PartName="/word/charts/chart/style1.xml" ContentType="application/vnd.ms-office.chartstyle+xml"/>
  <Override PartName="/word/charts/chart/style2.xml" ContentType="application/vnd.ms-office.chartstyle+xml"/>
  <Override PartName="/word/charts/chart/style3.xml" ContentType="application/vnd.ms-office.chartstyle+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ocument.xml" ContentType="application/vnd.openxmlformats-officedocument.wordprocessingml.document.main+xml"/>
  <Override PartName="/word/embeddings/Microsoft_Excel_Worksheet1.xlsx" ContentType="application/vnd.openxmlformats-officedocument.spreadsheetml.shee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14.9.0.0 -->
  <w:background w:color="ffffff">
    <v:background id="_x0000_s1025" filled="t"/>
  </w:background>
  <w:body>
    <w:p w:rsidR="00B373FD">
      <w:bookmarkStart w:id="0" w:name="_Toc22118329"/>
      <w:bookmarkStart w:id="1" w:name="_Toc22045668"/>
      <w:bookmarkStart w:id="2" w:name="_Toc25938983"/>
      <w:bookmarkStart w:id="3" w:name="_Toc24539605"/>
      <w:bookmarkStart w:id="4" w:name="_Toc22028768"/>
      <w:bookmarkStart w:id="5" w:name="_Toc24573395"/>
      <w:bookmarkStart w:id="6" w:name="_Toc24524218"/>
      <w:bookmarkStart w:id="7" w:name="_Toc22045634"/>
      <w:bookmarkStart w:id="8" w:name="_Toc23405278"/>
      <w:bookmarkStart w:id="9" w:name="_Toc23405376"/>
      <w:bookmarkStart w:id="10" w:name="_Toc25167297"/>
      <w:bookmarkStart w:id="11" w:name="_Toc25170318"/>
      <w:bookmarkStart w:id="12" w:name="_Toc23416313"/>
      <w:bookmarkStart w:id="13" w:name="_Toc23321870"/>
      <w:bookmarkStart w:id="14" w:name="_Toc25224669"/>
      <w:bookmarkStart w:id="15" w:name="_Toc23406846"/>
      <w:bookmarkStart w:id="16" w:name="_Toc22057190"/>
      <w:bookmarkStart w:id="17" w:name="_Toc22057541"/>
    </w:p>
    <w:p w:rsidR="00B373FD"/>
    <w:p w:rsidR="00B373FD">
      <w:pPr>
        <w:spacing w:line="360" w:lineRule="auto"/>
        <w:rPr>
          <w:sz w:val="52"/>
          <w:szCs w:val="52"/>
        </w:rPr>
      </w:pPr>
    </w:p>
    <w:p w:rsidR="00B373FD">
      <w:pPr>
        <w:spacing w:line="360" w:lineRule="auto"/>
        <w:jc w:val="center"/>
        <w:rPr>
          <w:rFonts w:eastAsia="方正小标宋简体"/>
          <w:color w:val="000000"/>
          <w:sz w:val="52"/>
          <w:szCs w:val="52"/>
        </w:rPr>
      </w:pPr>
      <w:r>
        <w:rPr>
          <w:rFonts w:eastAsia="方正小标宋简体" w:hint="eastAsia"/>
          <w:color w:val="000000"/>
          <w:sz w:val="52"/>
          <w:szCs w:val="52"/>
        </w:rPr>
        <w:t>太仓市</w:t>
      </w:r>
      <w:r>
        <w:rPr>
          <w:rFonts w:eastAsia="方正小标宋简体"/>
          <w:color w:val="000000"/>
          <w:sz w:val="52"/>
          <w:szCs w:val="52"/>
        </w:rPr>
        <w:t>“</w:t>
      </w:r>
      <w:r>
        <w:rPr>
          <w:rFonts w:eastAsia="方正小标宋简体"/>
          <w:color w:val="000000"/>
          <w:sz w:val="52"/>
          <w:szCs w:val="52"/>
        </w:rPr>
        <w:t>十四五</w:t>
      </w:r>
      <w:r>
        <w:rPr>
          <w:rFonts w:eastAsia="方正小标宋简体"/>
          <w:color w:val="000000"/>
          <w:sz w:val="52"/>
          <w:szCs w:val="52"/>
        </w:rPr>
        <w:t>”</w:t>
      </w:r>
      <w:r>
        <w:rPr>
          <w:rFonts w:eastAsia="方正小标宋简体"/>
          <w:color w:val="000000"/>
          <w:sz w:val="52"/>
          <w:szCs w:val="52"/>
        </w:rPr>
        <w:t>生态环境保护规划</w:t>
      </w:r>
    </w:p>
    <w:p w:rsidR="00B373FD">
      <w:pPr>
        <w:spacing w:line="360" w:lineRule="auto"/>
        <w:jc w:val="center"/>
        <w:rPr>
          <w:rFonts w:eastAsia="方正小标宋简体"/>
          <w:color w:val="000000"/>
          <w:sz w:val="52"/>
          <w:szCs w:val="52"/>
        </w:rPr>
      </w:pPr>
      <w:r>
        <w:rPr>
          <w:rFonts w:eastAsia="方正小标宋简体"/>
          <w:color w:val="000000"/>
          <w:sz w:val="52"/>
          <w:szCs w:val="52"/>
        </w:rPr>
        <w:t>技术报告</w:t>
      </w:r>
    </w:p>
    <w:p w:rsidR="00B373FD" w:rsidRPr="00716193">
      <w:pPr>
        <w:rPr>
          <w:sz w:val="52"/>
          <w:szCs w:val="52"/>
        </w:rPr>
      </w:pPr>
    </w:p>
    <w:p w:rsidR="00B373FD">
      <w:pPr>
        <w:rPr>
          <w:sz w:val="52"/>
          <w:szCs w:val="52"/>
        </w:rPr>
      </w:pPr>
      <w:r>
        <w:rPr>
          <w:rFonts w:eastAsia="方正小标宋简体" w:hint="eastAsia"/>
          <w:b/>
          <w:noProof/>
          <w:spacing w:val="-20"/>
          <w:sz w:val="52"/>
          <w:szCs w:val="52"/>
        </w:rPr>
        <w:drawing>
          <wp:anchor distT="0" distB="0" distL="114300" distR="114300" simplePos="0" relativeHeight="251670528" behindDoc="0" locked="0" layoutInCell="1" allowOverlap="1">
            <wp:simplePos x="0" y="0"/>
            <wp:positionH relativeFrom="column">
              <wp:posOffset>-31750</wp:posOffset>
            </wp:positionH>
            <wp:positionV relativeFrom="paragraph">
              <wp:posOffset>74930</wp:posOffset>
            </wp:positionV>
            <wp:extent cx="5313680" cy="2816860"/>
            <wp:effectExtent l="0" t="0" r="1270" b="2540"/>
            <wp:wrapSquare wrapText="bothSides"/>
            <wp:docPr id="51" name="图片 51" descr="f8177d14bf6b0e773abcce04870a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f8177d14bf6b0e773abcce04870a706"/>
                    <pic:cNvPicPr>
                      <a:picLocks noChangeAspect="1"/>
                    </pic:cNvPicPr>
                  </pic:nvPicPr>
                  <pic:blipFill>
                    <a:blip xmlns:r="http://schemas.openxmlformats.org/officeDocument/2006/relationships" r:embed="rId5"/>
                    <a:stretch>
                      <a:fillRect/>
                    </a:stretch>
                  </pic:blipFill>
                  <pic:spPr>
                    <a:xfrm>
                      <a:off x="0" y="0"/>
                      <a:ext cx="5313680" cy="2816860"/>
                    </a:xfrm>
                    <a:prstGeom prst="rect">
                      <a:avLst/>
                    </a:prstGeom>
                    <a:effectLst>
                      <a:softEdge rad="215900"/>
                    </a:effectLst>
                  </pic:spPr>
                </pic:pic>
              </a:graphicData>
            </a:graphic>
          </wp:anchor>
        </w:drawing>
      </w:r>
    </w:p>
    <w:p w:rsidR="00B373FD">
      <w:pPr>
        <w:rPr>
          <w:sz w:val="52"/>
          <w:szCs w:val="52"/>
        </w:rPr>
      </w:pPr>
    </w:p>
    <w:p w:rsidR="00B373FD">
      <w:pPr>
        <w:rPr>
          <w:sz w:val="52"/>
          <w:szCs w:val="52"/>
        </w:rPr>
      </w:pPr>
    </w:p>
    <w:p w:rsidR="00B373FD">
      <w:pPr>
        <w:rPr>
          <w:sz w:val="52"/>
          <w:szCs w:val="52"/>
        </w:rPr>
      </w:pPr>
    </w:p>
    <w:p w:rsidR="00B373FD">
      <w:pPr>
        <w:jc w:val="center"/>
        <w:rPr>
          <w:rFonts w:eastAsia="方正小标宋简体"/>
          <w:sz w:val="36"/>
          <w:szCs w:val="36"/>
        </w:rPr>
      </w:pPr>
      <w:r>
        <w:rPr>
          <w:rFonts w:eastAsia="方正小标宋简体" w:hint="eastAsia"/>
          <w:sz w:val="36"/>
          <w:szCs w:val="36"/>
        </w:rPr>
        <w:t>太仓市人民政府</w:t>
      </w:r>
    </w:p>
    <w:p w:rsidR="00B373FD">
      <w:pPr>
        <w:jc w:val="center"/>
        <w:rPr>
          <w:rFonts w:eastAsia="方正小标宋简体"/>
          <w:sz w:val="36"/>
          <w:szCs w:val="36"/>
        </w:rPr>
        <w:sectPr>
          <w:headerReference w:type="even" r:id="rId6"/>
          <w:headerReference w:type="default" r:id="rId7"/>
          <w:footerReference w:type="default" r:id="rId8"/>
          <w:headerReference w:type="first" r:id="rId9"/>
          <w:pgSz w:w="11906" w:h="16838"/>
          <w:pgMar w:top="1440" w:right="1800" w:bottom="1440" w:left="1800" w:header="851" w:footer="992" w:gutter="0"/>
          <w:pgNumType w:start="1"/>
          <w:cols w:space="720"/>
          <w:docGrid w:type="lines" w:linePitch="312"/>
        </w:sectPr>
      </w:pPr>
      <w:r>
        <w:rPr>
          <w:rFonts w:eastAsia="方正小标宋简体"/>
          <w:sz w:val="36"/>
          <w:szCs w:val="36"/>
        </w:rPr>
        <w:t>二</w:t>
      </w:r>
      <w:r>
        <w:rPr>
          <w:rFonts w:eastAsia="宋体"/>
          <w:sz w:val="36"/>
          <w:szCs w:val="36"/>
        </w:rPr>
        <w:t>〇</w:t>
      </w:r>
      <w:r>
        <w:rPr>
          <w:rFonts w:eastAsia="方正小标宋简体"/>
          <w:sz w:val="36"/>
          <w:szCs w:val="36"/>
        </w:rPr>
        <w:t>二</w:t>
      </w:r>
      <w:r w:rsidR="00312F60">
        <w:rPr>
          <w:rFonts w:eastAsia="方正小标宋简体" w:hint="eastAsia"/>
          <w:sz w:val="36"/>
          <w:szCs w:val="36"/>
        </w:rPr>
        <w:t>二</w:t>
      </w:r>
      <w:r>
        <w:rPr>
          <w:rFonts w:eastAsia="方正小标宋简体"/>
          <w:sz w:val="36"/>
          <w:szCs w:val="36"/>
        </w:rPr>
        <w:t>年</w:t>
      </w:r>
      <w:r w:rsidR="00312F60">
        <w:rPr>
          <w:rFonts w:eastAsia="方正小标宋简体" w:hint="eastAsia"/>
          <w:sz w:val="36"/>
          <w:szCs w:val="36"/>
        </w:rPr>
        <w:t>一</w:t>
      </w:r>
      <w:r>
        <w:rPr>
          <w:rFonts w:eastAsia="方正小标宋简体"/>
          <w:sz w:val="36"/>
          <w:szCs w:val="36"/>
        </w:rPr>
        <w:t>月</w:t>
      </w:r>
    </w:p>
    <w:p w:rsidR="00B373FD">
      <w:pPr>
        <w:jc w:val="center"/>
        <w:rPr>
          <w:sz w:val="36"/>
          <w:szCs w:val="36"/>
        </w:rPr>
      </w:pPr>
      <w:r>
        <w:rPr>
          <w:b/>
          <w:bCs/>
          <w:sz w:val="36"/>
          <w:szCs w:val="36"/>
        </w:rPr>
        <w:t>前</w:t>
      </w:r>
      <w:r>
        <w:rPr>
          <w:rFonts w:hint="eastAsia"/>
          <w:b/>
          <w:bCs/>
          <w:sz w:val="36"/>
          <w:szCs w:val="36"/>
        </w:rPr>
        <w:t xml:space="preserve"> </w:t>
      </w:r>
      <w:r>
        <w:rPr>
          <w:b/>
          <w:bCs/>
          <w:sz w:val="36"/>
          <w:szCs w:val="36"/>
        </w:rPr>
        <w:t xml:space="preserve"> </w:t>
      </w:r>
      <w:r>
        <w:rPr>
          <w:b/>
          <w:bCs/>
          <w:sz w:val="36"/>
          <w:szCs w:val="36"/>
        </w:rPr>
        <w:t>言</w:t>
      </w:r>
    </w:p>
    <w:p w:rsidR="00B42CBE" w:rsidRPr="00590C1E" w:rsidP="00590C1E">
      <w:pPr>
        <w:pStyle w:val="NoteHeading"/>
        <w:ind w:firstLine="640" w:firstLineChars="200"/>
        <w:jc w:val="both"/>
        <w:rPr>
          <w:rFonts w:ascii="仿宋_GB2312"/>
          <w:color w:val="000000"/>
          <w:spacing w:val="6"/>
          <w:kern w:val="0"/>
          <w:szCs w:val="32"/>
        </w:rPr>
      </w:pPr>
      <w:r>
        <w:rPr>
          <w:rFonts w:ascii="仿宋_GB2312" w:hint="eastAsia"/>
          <w:color w:val="000000"/>
          <w:spacing w:val="6"/>
          <w:kern w:val="0"/>
          <w:szCs w:val="32"/>
        </w:rPr>
        <w:t>“十四五”时期是开启全面建设社会主义现代化建设新征程的第一个五年，也是深入打好污染防治攻坚战，加快推进美丽太仓建设的关键时期。为深入贯彻党的十九大和十九届二中、三中、四中、五中全会精神，践行习近平新时代中国特色社会主义思想和习近平生态文明思想，全面落实习近平总书记对江苏系列重要讲话指示精神，太仓市根据省、市规划要求以及《太仓市国民经济和社会发展第十四个五年规划和</w:t>
      </w:r>
      <w:r>
        <w:rPr>
          <w:rFonts w:ascii="仿宋_GB2312" w:hint="eastAsia"/>
          <w:szCs w:val="32"/>
        </w:rPr>
        <w:t>二</w:t>
      </w:r>
      <w:r>
        <w:rPr>
          <w:rFonts w:hint="eastAsia"/>
          <w:szCs w:val="32"/>
        </w:rPr>
        <w:t>O</w:t>
      </w:r>
      <w:r>
        <w:rPr>
          <w:rFonts w:ascii="仿宋_GB2312" w:hint="eastAsia"/>
          <w:szCs w:val="32"/>
        </w:rPr>
        <w:t>三五</w:t>
      </w:r>
      <w:r>
        <w:rPr>
          <w:rFonts w:ascii="仿宋_GB2312" w:hint="eastAsia"/>
          <w:color w:val="000000"/>
          <w:spacing w:val="6"/>
          <w:kern w:val="0"/>
          <w:szCs w:val="32"/>
        </w:rPr>
        <w:t>年远景目标》，编制本规</w:t>
      </w:r>
      <w:r w:rsidR="00590C1E">
        <w:rPr>
          <w:rFonts w:ascii="仿宋_GB2312" w:hint="eastAsia"/>
          <w:color w:val="000000"/>
          <w:spacing w:val="6"/>
          <w:kern w:val="0"/>
          <w:szCs w:val="32"/>
        </w:rPr>
        <w:t>划。</w:t>
      </w:r>
      <w:r>
        <w:rPr>
          <w:rFonts w:ascii="仿宋_GB2312" w:hint="eastAsia"/>
          <w:color w:val="000000"/>
          <w:spacing w:val="6"/>
          <w:kern w:val="0"/>
          <w:szCs w:val="32"/>
        </w:rPr>
        <w:t>通过系统总结“十三五”生态环境保护取得的积极成效，综合研判“十四五”生态环境保护面临形势，科学谋划、系统部署“十四五”生态环境保护工作的战略方向、目标任务、重大工程，牢固树立新发展理念，以改善环境质量为核心，以碳达峰、碳中和为引领，以减污降碳协同治理为抓手，以源头治理为根本策略，协同推进经济高质量和生态环境高水平保护，</w:t>
      </w:r>
      <w:r w:rsidRPr="003A7253" w:rsidR="003A7253">
        <w:rPr>
          <w:rFonts w:ascii="仿宋_GB2312" w:hint="eastAsia"/>
          <w:color w:val="000000"/>
          <w:spacing w:val="6"/>
          <w:kern w:val="0"/>
          <w:szCs w:val="32"/>
        </w:rPr>
        <w:t>推动太仓市生态环境质量进一步提升，为太仓社会主义现代化建设谱写一页“绿色华章”。本规划是今后五年全市生态环境保护工作的行动纲领。</w:t>
      </w:r>
    </w:p>
    <w:p w:rsidR="00B373FD" w:rsidRPr="00B42CBE" w:rsidP="00590C1E">
      <w:pPr>
        <w:ind w:firstLine="640" w:firstLineChars="200"/>
        <w:rPr>
          <w:rFonts w:ascii="仿宋_GB2312"/>
          <w:color w:val="000000"/>
          <w:spacing w:val="6"/>
          <w:kern w:val="0"/>
          <w:szCs w:val="32"/>
        </w:rPr>
        <w:sectPr>
          <w:headerReference w:type="even" r:id="rId10"/>
          <w:headerReference w:type="default" r:id="rId11"/>
          <w:footerReference w:type="default" r:id="rId12"/>
          <w:headerReference w:type="first" r:id="rId13"/>
          <w:pgSz w:w="11906" w:h="16838"/>
          <w:pgMar w:top="1440" w:right="1800" w:bottom="1440" w:left="1800" w:header="851" w:footer="992" w:gutter="0"/>
          <w:pgNumType w:fmt="lowerRoman" w:start="1"/>
          <w:cols w:space="720"/>
          <w:docGrid w:type="lines" w:linePitch="312"/>
        </w:sectPr>
      </w:pPr>
    </w:p>
    <w:p w:rsidR="00B373FD">
      <w:pPr>
        <w:spacing w:before="156" w:beforeLines="50" w:after="156" w:afterLines="50"/>
        <w:jc w:val="center"/>
        <w:rPr>
          <w:rFonts w:eastAsia="黑体"/>
          <w:sz w:val="44"/>
          <w:szCs w:val="44"/>
        </w:rPr>
      </w:pPr>
      <w:r>
        <w:rPr>
          <w:rFonts w:eastAsia="黑体"/>
          <w:sz w:val="44"/>
          <w:szCs w:val="44"/>
        </w:rPr>
        <w:t>目</w:t>
      </w:r>
      <w:r>
        <w:rPr>
          <w:rFonts w:eastAsia="黑体"/>
          <w:sz w:val="44"/>
          <w:szCs w:val="44"/>
        </w:rPr>
        <w:t xml:space="preserve">  </w:t>
      </w:r>
      <w:r>
        <w:rPr>
          <w:rFonts w:eastAsia="黑体"/>
          <w:sz w:val="44"/>
          <w:szCs w:val="44"/>
        </w:rPr>
        <w:t>录</w:t>
      </w:r>
    </w:p>
    <w:p w:rsidR="00B42CBE">
      <w:pPr>
        <w:pStyle w:val="TOC1"/>
        <w:tabs>
          <w:tab w:val="left" w:pos="630"/>
          <w:tab w:val="right" w:leader="dot" w:pos="8296"/>
        </w:tabs>
        <w:rPr>
          <w:rFonts w:asciiTheme="minorHAnsi" w:eastAsiaTheme="minorEastAsia" w:hAnsiTheme="minorHAnsi" w:cstheme="minorBidi" w:hint="default"/>
          <w:b w:val="0"/>
          <w:caps w:val="0"/>
          <w:noProof/>
          <w:sz w:val="21"/>
          <w:szCs w:val="22"/>
        </w:rPr>
      </w:pPr>
      <w:r>
        <w:rPr>
          <w:sz w:val="24"/>
          <w:szCs w:val="24"/>
        </w:rPr>
        <w:fldChar w:fldCharType="begin"/>
      </w:r>
      <w:r>
        <w:rPr>
          <w:sz w:val="24"/>
          <w:szCs w:val="24"/>
        </w:rPr>
        <w:instrText xml:space="preserve"> TOC \o "1-2" \u </w:instrText>
      </w:r>
      <w:r>
        <w:rPr>
          <w:sz w:val="24"/>
          <w:szCs w:val="24"/>
        </w:rPr>
        <w:fldChar w:fldCharType="separate"/>
      </w:r>
      <w:r w:rsidRPr="00284668">
        <w:rPr>
          <w:rFonts w:ascii="Times New Roman Regular" w:hAnsi="Times New Roman Regular" w:cs="Times New Roman Regular"/>
          <w:noProof/>
        </w:rPr>
        <w:t>1</w:t>
      </w:r>
      <w:r>
        <w:rPr>
          <w:rFonts w:asciiTheme="minorHAnsi" w:eastAsiaTheme="minorEastAsia" w:hAnsiTheme="minorHAnsi" w:cstheme="minorBidi" w:hint="default"/>
          <w:b w:val="0"/>
          <w:caps w:val="0"/>
          <w:noProof/>
          <w:sz w:val="21"/>
          <w:szCs w:val="22"/>
        </w:rPr>
        <w:tab/>
      </w:r>
      <w:r w:rsidRPr="00284668">
        <w:rPr>
          <w:rFonts w:ascii="Times New Roman Regular" w:hAnsi="Times New Roman Regular" w:cs="Times New Roman Regular"/>
          <w:noProof/>
        </w:rPr>
        <w:t>规划总则</w:t>
      </w:r>
      <w:r>
        <w:rPr>
          <w:noProof/>
        </w:rPr>
        <w:tab/>
      </w:r>
      <w:r>
        <w:rPr>
          <w:noProof/>
        </w:rPr>
        <w:fldChar w:fldCharType="begin"/>
      </w:r>
      <w:r>
        <w:rPr>
          <w:noProof/>
        </w:rPr>
        <w:instrText xml:space="preserve"> PAGEREF _Toc77862679 \h </w:instrText>
      </w:r>
      <w:r>
        <w:rPr>
          <w:noProof/>
        </w:rPr>
        <w:fldChar w:fldCharType="separate"/>
      </w:r>
      <w:r w:rsidR="00F37E1B">
        <w:rPr>
          <w:rFonts w:hint="default"/>
          <w:noProof/>
        </w:rPr>
        <w:t>1</w:t>
      </w:r>
      <w:r>
        <w:rPr>
          <w:noProof/>
        </w:rPr>
        <w:fldChar w:fldCharType="end"/>
      </w:r>
    </w:p>
    <w:p w:rsidR="00B42CBE">
      <w:pPr>
        <w:pStyle w:val="TOC2"/>
        <w:tabs>
          <w:tab w:val="left" w:pos="840"/>
          <w:tab w:val="right" w:leader="dot" w:pos="8296"/>
        </w:tabs>
        <w:rPr>
          <w:rFonts w:asciiTheme="minorHAnsi" w:eastAsiaTheme="minorEastAsia" w:hAnsiTheme="minorHAnsi" w:cstheme="minorBidi" w:hint="default"/>
          <w:smallCaps w:val="0"/>
          <w:noProof/>
          <w:sz w:val="21"/>
          <w:szCs w:val="22"/>
        </w:rPr>
      </w:pPr>
      <w:r w:rsidRPr="00284668">
        <w:rPr>
          <w:rFonts w:ascii="Times New Roman Regular" w:hAnsi="Times New Roman Regular" w:cs="Times New Roman Regular"/>
          <w:noProof/>
        </w:rPr>
        <w:t>1.1</w:t>
      </w:r>
      <w:r>
        <w:rPr>
          <w:rFonts w:asciiTheme="minorHAnsi" w:eastAsiaTheme="minorEastAsia" w:hAnsiTheme="minorHAnsi" w:cstheme="minorBidi" w:hint="default"/>
          <w:smallCaps w:val="0"/>
          <w:noProof/>
          <w:sz w:val="21"/>
          <w:szCs w:val="22"/>
        </w:rPr>
        <w:tab/>
      </w:r>
      <w:r w:rsidRPr="00284668">
        <w:rPr>
          <w:rFonts w:ascii="Times New Roman Regular" w:hAnsi="Times New Roman Regular" w:cs="Times New Roman Regular"/>
          <w:noProof/>
        </w:rPr>
        <w:t>规划背景</w:t>
      </w:r>
      <w:r>
        <w:rPr>
          <w:noProof/>
        </w:rPr>
        <w:tab/>
      </w:r>
      <w:r>
        <w:rPr>
          <w:noProof/>
        </w:rPr>
        <w:fldChar w:fldCharType="begin"/>
      </w:r>
      <w:r>
        <w:rPr>
          <w:noProof/>
        </w:rPr>
        <w:instrText xml:space="preserve"> PAGEREF _Toc77862680 \h </w:instrText>
      </w:r>
      <w:r>
        <w:rPr>
          <w:noProof/>
        </w:rPr>
        <w:fldChar w:fldCharType="separate"/>
      </w:r>
      <w:r w:rsidR="00F37E1B">
        <w:rPr>
          <w:rFonts w:hint="default"/>
          <w:noProof/>
        </w:rPr>
        <w:t>1</w:t>
      </w:r>
      <w:r>
        <w:rPr>
          <w:noProof/>
        </w:rPr>
        <w:fldChar w:fldCharType="end"/>
      </w:r>
    </w:p>
    <w:p w:rsidR="00B42CBE">
      <w:pPr>
        <w:pStyle w:val="TOC2"/>
        <w:tabs>
          <w:tab w:val="left" w:pos="840"/>
          <w:tab w:val="right" w:leader="dot" w:pos="8296"/>
        </w:tabs>
        <w:rPr>
          <w:rFonts w:asciiTheme="minorHAnsi" w:eastAsiaTheme="minorEastAsia" w:hAnsiTheme="minorHAnsi" w:cstheme="minorBidi" w:hint="default"/>
          <w:smallCaps w:val="0"/>
          <w:noProof/>
          <w:sz w:val="21"/>
          <w:szCs w:val="22"/>
        </w:rPr>
      </w:pPr>
      <w:r w:rsidRPr="00284668">
        <w:rPr>
          <w:rFonts w:ascii="Times New Roman Regular" w:hAnsi="Times New Roman Regular" w:cs="Times New Roman Regular"/>
          <w:noProof/>
        </w:rPr>
        <w:t>1.2</w:t>
      </w:r>
      <w:r>
        <w:rPr>
          <w:rFonts w:asciiTheme="minorHAnsi" w:eastAsiaTheme="minorEastAsia" w:hAnsiTheme="minorHAnsi" w:cstheme="minorBidi" w:hint="default"/>
          <w:smallCaps w:val="0"/>
          <w:noProof/>
          <w:sz w:val="21"/>
          <w:szCs w:val="22"/>
        </w:rPr>
        <w:tab/>
      </w:r>
      <w:r w:rsidRPr="00284668">
        <w:rPr>
          <w:rFonts w:ascii="Times New Roman Regular" w:hAnsi="Times New Roman Regular" w:cs="Times New Roman Regular"/>
          <w:noProof/>
        </w:rPr>
        <w:t>规划范围与时限</w:t>
      </w:r>
      <w:r>
        <w:rPr>
          <w:noProof/>
        </w:rPr>
        <w:tab/>
      </w:r>
      <w:r>
        <w:rPr>
          <w:noProof/>
        </w:rPr>
        <w:fldChar w:fldCharType="begin"/>
      </w:r>
      <w:r>
        <w:rPr>
          <w:noProof/>
        </w:rPr>
        <w:instrText xml:space="preserve"> PAGEREF _Toc77862681 \h </w:instrText>
      </w:r>
      <w:r>
        <w:rPr>
          <w:noProof/>
        </w:rPr>
        <w:fldChar w:fldCharType="separate"/>
      </w:r>
      <w:r w:rsidR="00F37E1B">
        <w:rPr>
          <w:rFonts w:hint="default"/>
          <w:noProof/>
        </w:rPr>
        <w:t>2</w:t>
      </w:r>
      <w:r>
        <w:rPr>
          <w:noProof/>
        </w:rPr>
        <w:fldChar w:fldCharType="end"/>
      </w:r>
    </w:p>
    <w:p w:rsidR="00B42CBE">
      <w:pPr>
        <w:pStyle w:val="TOC2"/>
        <w:tabs>
          <w:tab w:val="left" w:pos="840"/>
          <w:tab w:val="right" w:leader="dot" w:pos="8296"/>
        </w:tabs>
        <w:rPr>
          <w:rFonts w:asciiTheme="minorHAnsi" w:eastAsiaTheme="minorEastAsia" w:hAnsiTheme="minorHAnsi" w:cstheme="minorBidi" w:hint="default"/>
          <w:smallCaps w:val="0"/>
          <w:noProof/>
          <w:sz w:val="21"/>
          <w:szCs w:val="22"/>
        </w:rPr>
      </w:pPr>
      <w:r w:rsidRPr="00284668">
        <w:rPr>
          <w:rFonts w:ascii="Times New Roman Regular" w:hAnsi="Times New Roman Regular" w:cs="Times New Roman Regular"/>
          <w:noProof/>
        </w:rPr>
        <w:t>1.3</w:t>
      </w:r>
      <w:r>
        <w:rPr>
          <w:rFonts w:asciiTheme="minorHAnsi" w:eastAsiaTheme="minorEastAsia" w:hAnsiTheme="minorHAnsi" w:cstheme="minorBidi" w:hint="default"/>
          <w:smallCaps w:val="0"/>
          <w:noProof/>
          <w:sz w:val="21"/>
          <w:szCs w:val="22"/>
        </w:rPr>
        <w:tab/>
      </w:r>
      <w:r w:rsidRPr="00284668">
        <w:rPr>
          <w:rFonts w:ascii="Times New Roman Regular" w:hAnsi="Times New Roman Regular" w:cs="Times New Roman Regular"/>
          <w:noProof/>
        </w:rPr>
        <w:t>编制依据</w:t>
      </w:r>
      <w:r>
        <w:rPr>
          <w:noProof/>
        </w:rPr>
        <w:tab/>
      </w:r>
      <w:r>
        <w:rPr>
          <w:noProof/>
        </w:rPr>
        <w:fldChar w:fldCharType="begin"/>
      </w:r>
      <w:r>
        <w:rPr>
          <w:noProof/>
        </w:rPr>
        <w:instrText xml:space="preserve"> PAGEREF _Toc77862682 \h </w:instrText>
      </w:r>
      <w:r>
        <w:rPr>
          <w:noProof/>
        </w:rPr>
        <w:fldChar w:fldCharType="separate"/>
      </w:r>
      <w:r w:rsidR="00F37E1B">
        <w:rPr>
          <w:rFonts w:hint="default"/>
          <w:noProof/>
        </w:rPr>
        <w:t>2</w:t>
      </w:r>
      <w:r>
        <w:rPr>
          <w:noProof/>
        </w:rPr>
        <w:fldChar w:fldCharType="end"/>
      </w:r>
    </w:p>
    <w:p w:rsidR="00B42CBE">
      <w:pPr>
        <w:pStyle w:val="TOC2"/>
        <w:tabs>
          <w:tab w:val="left" w:pos="840"/>
          <w:tab w:val="right" w:leader="dot" w:pos="8296"/>
        </w:tabs>
        <w:rPr>
          <w:rFonts w:asciiTheme="minorHAnsi" w:eastAsiaTheme="minorEastAsia" w:hAnsiTheme="minorHAnsi" w:cstheme="minorBidi" w:hint="default"/>
          <w:smallCaps w:val="0"/>
          <w:noProof/>
          <w:sz w:val="21"/>
          <w:szCs w:val="22"/>
        </w:rPr>
      </w:pPr>
      <w:r w:rsidRPr="00284668">
        <w:rPr>
          <w:rFonts w:ascii="Times New Roman Regular" w:hAnsi="Times New Roman Regular" w:cs="Times New Roman Regular"/>
          <w:noProof/>
        </w:rPr>
        <w:t>1.4</w:t>
      </w:r>
      <w:r>
        <w:rPr>
          <w:rFonts w:asciiTheme="minorHAnsi" w:eastAsiaTheme="minorEastAsia" w:hAnsiTheme="minorHAnsi" w:cstheme="minorBidi" w:hint="default"/>
          <w:smallCaps w:val="0"/>
          <w:noProof/>
          <w:sz w:val="21"/>
          <w:szCs w:val="22"/>
        </w:rPr>
        <w:tab/>
      </w:r>
      <w:r w:rsidRPr="00284668">
        <w:rPr>
          <w:rFonts w:ascii="Times New Roman Regular" w:hAnsi="Times New Roman Regular" w:cs="Times New Roman Regular"/>
          <w:noProof/>
        </w:rPr>
        <w:t>技术路线</w:t>
      </w:r>
      <w:r>
        <w:rPr>
          <w:noProof/>
        </w:rPr>
        <w:tab/>
      </w:r>
      <w:r>
        <w:rPr>
          <w:noProof/>
        </w:rPr>
        <w:fldChar w:fldCharType="begin"/>
      </w:r>
      <w:r>
        <w:rPr>
          <w:noProof/>
        </w:rPr>
        <w:instrText xml:space="preserve"> PAGEREF _Toc77862683 \h </w:instrText>
      </w:r>
      <w:r>
        <w:rPr>
          <w:noProof/>
        </w:rPr>
        <w:fldChar w:fldCharType="separate"/>
      </w:r>
      <w:r w:rsidR="00F37E1B">
        <w:rPr>
          <w:rFonts w:hint="default"/>
          <w:noProof/>
        </w:rPr>
        <w:t>6</w:t>
      </w:r>
      <w:r>
        <w:rPr>
          <w:noProof/>
        </w:rPr>
        <w:fldChar w:fldCharType="end"/>
      </w:r>
    </w:p>
    <w:p w:rsidR="00B42CBE">
      <w:pPr>
        <w:pStyle w:val="TOC1"/>
        <w:tabs>
          <w:tab w:val="left" w:pos="630"/>
          <w:tab w:val="right" w:leader="dot" w:pos="8296"/>
        </w:tabs>
        <w:rPr>
          <w:rFonts w:asciiTheme="minorHAnsi" w:eastAsiaTheme="minorEastAsia" w:hAnsiTheme="minorHAnsi" w:cstheme="minorBidi" w:hint="default"/>
          <w:b w:val="0"/>
          <w:caps w:val="0"/>
          <w:noProof/>
          <w:sz w:val="21"/>
          <w:szCs w:val="22"/>
        </w:rPr>
      </w:pPr>
      <w:r w:rsidRPr="00284668">
        <w:rPr>
          <w:rFonts w:ascii="Times New Roman Regular" w:hAnsi="Times New Roman Regular" w:cs="Times New Roman Regular"/>
          <w:noProof/>
        </w:rPr>
        <w:t>2</w:t>
      </w:r>
      <w:r>
        <w:rPr>
          <w:rFonts w:asciiTheme="minorHAnsi" w:eastAsiaTheme="minorEastAsia" w:hAnsiTheme="minorHAnsi" w:cstheme="minorBidi" w:hint="default"/>
          <w:b w:val="0"/>
          <w:caps w:val="0"/>
          <w:noProof/>
          <w:sz w:val="21"/>
          <w:szCs w:val="22"/>
        </w:rPr>
        <w:tab/>
      </w:r>
      <w:r w:rsidRPr="00284668">
        <w:rPr>
          <w:rFonts w:ascii="Times New Roman Regular" w:hAnsi="Times New Roman Regular" w:cs="Times New Roman Regular"/>
          <w:noProof/>
        </w:rPr>
        <w:t>区域基础条件分析</w:t>
      </w:r>
      <w:r>
        <w:rPr>
          <w:noProof/>
        </w:rPr>
        <w:tab/>
      </w:r>
      <w:r>
        <w:rPr>
          <w:noProof/>
        </w:rPr>
        <w:fldChar w:fldCharType="begin"/>
      </w:r>
      <w:r>
        <w:rPr>
          <w:noProof/>
        </w:rPr>
        <w:instrText xml:space="preserve"> PAGEREF _Toc77862684 \h </w:instrText>
      </w:r>
      <w:r>
        <w:rPr>
          <w:noProof/>
        </w:rPr>
        <w:fldChar w:fldCharType="separate"/>
      </w:r>
      <w:r w:rsidR="00F37E1B">
        <w:rPr>
          <w:rFonts w:hint="default"/>
          <w:noProof/>
        </w:rPr>
        <w:t>8</w:t>
      </w:r>
      <w:r>
        <w:rPr>
          <w:noProof/>
        </w:rPr>
        <w:fldChar w:fldCharType="end"/>
      </w:r>
    </w:p>
    <w:p w:rsidR="00B42CBE">
      <w:pPr>
        <w:pStyle w:val="TOC2"/>
        <w:tabs>
          <w:tab w:val="left" w:pos="840"/>
          <w:tab w:val="right" w:leader="dot" w:pos="8296"/>
        </w:tabs>
        <w:rPr>
          <w:rFonts w:asciiTheme="minorHAnsi" w:eastAsiaTheme="minorEastAsia" w:hAnsiTheme="minorHAnsi" w:cstheme="minorBidi" w:hint="default"/>
          <w:smallCaps w:val="0"/>
          <w:noProof/>
          <w:sz w:val="21"/>
          <w:szCs w:val="22"/>
        </w:rPr>
      </w:pPr>
      <w:r w:rsidRPr="00284668">
        <w:rPr>
          <w:rFonts w:ascii="Times New Roman Regular" w:hAnsi="Times New Roman Regular" w:cs="Times New Roman Regular"/>
          <w:noProof/>
        </w:rPr>
        <w:t>2.1</w:t>
      </w:r>
      <w:r>
        <w:rPr>
          <w:rFonts w:asciiTheme="minorHAnsi" w:eastAsiaTheme="minorEastAsia" w:hAnsiTheme="minorHAnsi" w:cstheme="minorBidi" w:hint="default"/>
          <w:smallCaps w:val="0"/>
          <w:noProof/>
          <w:sz w:val="21"/>
          <w:szCs w:val="22"/>
        </w:rPr>
        <w:tab/>
      </w:r>
      <w:r w:rsidRPr="00284668">
        <w:rPr>
          <w:rFonts w:ascii="Times New Roman Regular" w:hAnsi="Times New Roman Regular" w:cs="Times New Roman Regular"/>
          <w:noProof/>
        </w:rPr>
        <w:t>自然资源特征</w:t>
      </w:r>
      <w:r>
        <w:rPr>
          <w:noProof/>
        </w:rPr>
        <w:tab/>
      </w:r>
      <w:r>
        <w:rPr>
          <w:noProof/>
        </w:rPr>
        <w:fldChar w:fldCharType="begin"/>
      </w:r>
      <w:r>
        <w:rPr>
          <w:noProof/>
        </w:rPr>
        <w:instrText xml:space="preserve"> PAGEREF _Toc77862685 \h </w:instrText>
      </w:r>
      <w:r>
        <w:rPr>
          <w:noProof/>
        </w:rPr>
        <w:fldChar w:fldCharType="separate"/>
      </w:r>
      <w:r w:rsidR="00F37E1B">
        <w:rPr>
          <w:rFonts w:hint="default"/>
          <w:noProof/>
        </w:rPr>
        <w:t>8</w:t>
      </w:r>
      <w:r>
        <w:rPr>
          <w:noProof/>
        </w:rPr>
        <w:fldChar w:fldCharType="end"/>
      </w:r>
    </w:p>
    <w:p w:rsidR="00B42CBE">
      <w:pPr>
        <w:pStyle w:val="TOC2"/>
        <w:tabs>
          <w:tab w:val="left" w:pos="840"/>
          <w:tab w:val="right" w:leader="dot" w:pos="8296"/>
        </w:tabs>
        <w:rPr>
          <w:rFonts w:asciiTheme="minorHAnsi" w:eastAsiaTheme="minorEastAsia" w:hAnsiTheme="minorHAnsi" w:cstheme="minorBidi" w:hint="default"/>
          <w:smallCaps w:val="0"/>
          <w:noProof/>
          <w:sz w:val="21"/>
          <w:szCs w:val="22"/>
        </w:rPr>
      </w:pPr>
      <w:r w:rsidRPr="00284668">
        <w:rPr>
          <w:rFonts w:ascii="Times New Roman Regular" w:hAnsi="Times New Roman Regular" w:cs="Times New Roman Regular"/>
          <w:noProof/>
        </w:rPr>
        <w:t>2.2</w:t>
      </w:r>
      <w:r>
        <w:rPr>
          <w:rFonts w:asciiTheme="minorHAnsi" w:eastAsiaTheme="minorEastAsia" w:hAnsiTheme="minorHAnsi" w:cstheme="minorBidi" w:hint="default"/>
          <w:smallCaps w:val="0"/>
          <w:noProof/>
          <w:sz w:val="21"/>
          <w:szCs w:val="22"/>
        </w:rPr>
        <w:tab/>
      </w:r>
      <w:r w:rsidRPr="00284668">
        <w:rPr>
          <w:rFonts w:ascii="Times New Roman Regular" w:hAnsi="Times New Roman Regular" w:cs="Times New Roman Regular"/>
          <w:noProof/>
        </w:rPr>
        <w:t>社会经济发展状况</w:t>
      </w:r>
      <w:r>
        <w:rPr>
          <w:noProof/>
        </w:rPr>
        <w:tab/>
      </w:r>
      <w:r>
        <w:rPr>
          <w:noProof/>
        </w:rPr>
        <w:fldChar w:fldCharType="begin"/>
      </w:r>
      <w:r>
        <w:rPr>
          <w:noProof/>
        </w:rPr>
        <w:instrText xml:space="preserve"> PAGEREF _Toc77862686 \h </w:instrText>
      </w:r>
      <w:r>
        <w:rPr>
          <w:noProof/>
        </w:rPr>
        <w:fldChar w:fldCharType="separate"/>
      </w:r>
      <w:r w:rsidR="00F37E1B">
        <w:rPr>
          <w:rFonts w:hint="default"/>
          <w:noProof/>
        </w:rPr>
        <w:t>9</w:t>
      </w:r>
      <w:r>
        <w:rPr>
          <w:noProof/>
        </w:rPr>
        <w:fldChar w:fldCharType="end"/>
      </w:r>
    </w:p>
    <w:p w:rsidR="00B42CBE">
      <w:pPr>
        <w:pStyle w:val="TOC2"/>
        <w:tabs>
          <w:tab w:val="left" w:pos="840"/>
          <w:tab w:val="right" w:leader="dot" w:pos="8296"/>
        </w:tabs>
        <w:rPr>
          <w:rFonts w:asciiTheme="minorHAnsi" w:eastAsiaTheme="minorEastAsia" w:hAnsiTheme="minorHAnsi" w:cstheme="minorBidi" w:hint="default"/>
          <w:smallCaps w:val="0"/>
          <w:noProof/>
          <w:sz w:val="21"/>
          <w:szCs w:val="22"/>
        </w:rPr>
      </w:pPr>
      <w:r w:rsidRPr="00284668">
        <w:rPr>
          <w:rFonts w:ascii="Times New Roman Regular" w:hAnsi="Times New Roman Regular" w:cs="Times New Roman Regular"/>
          <w:noProof/>
        </w:rPr>
        <w:t>2.3</w:t>
      </w:r>
      <w:r>
        <w:rPr>
          <w:rFonts w:asciiTheme="minorHAnsi" w:eastAsiaTheme="minorEastAsia" w:hAnsiTheme="minorHAnsi" w:cstheme="minorBidi" w:hint="default"/>
          <w:smallCaps w:val="0"/>
          <w:noProof/>
          <w:sz w:val="21"/>
          <w:szCs w:val="22"/>
        </w:rPr>
        <w:tab/>
      </w:r>
      <w:r w:rsidRPr="00284668">
        <w:rPr>
          <w:rFonts w:ascii="Times New Roman Regular" w:hAnsi="Times New Roman Regular" w:cs="Times New Roman Regular"/>
          <w:noProof/>
        </w:rPr>
        <w:t>资源能源利用状况</w:t>
      </w:r>
      <w:r>
        <w:rPr>
          <w:noProof/>
        </w:rPr>
        <w:tab/>
      </w:r>
      <w:r>
        <w:rPr>
          <w:noProof/>
        </w:rPr>
        <w:fldChar w:fldCharType="begin"/>
      </w:r>
      <w:r>
        <w:rPr>
          <w:noProof/>
        </w:rPr>
        <w:instrText xml:space="preserve"> PAGEREF _Toc77862687 \h </w:instrText>
      </w:r>
      <w:r>
        <w:rPr>
          <w:noProof/>
        </w:rPr>
        <w:fldChar w:fldCharType="separate"/>
      </w:r>
      <w:r w:rsidR="00F37E1B">
        <w:rPr>
          <w:rFonts w:hint="default"/>
          <w:noProof/>
        </w:rPr>
        <w:t>10</w:t>
      </w:r>
      <w:r>
        <w:rPr>
          <w:noProof/>
        </w:rPr>
        <w:fldChar w:fldCharType="end"/>
      </w:r>
    </w:p>
    <w:p w:rsidR="00B42CBE">
      <w:pPr>
        <w:pStyle w:val="TOC2"/>
        <w:tabs>
          <w:tab w:val="left" w:pos="840"/>
          <w:tab w:val="right" w:leader="dot" w:pos="8296"/>
        </w:tabs>
        <w:rPr>
          <w:rFonts w:asciiTheme="minorHAnsi" w:eastAsiaTheme="minorEastAsia" w:hAnsiTheme="minorHAnsi" w:cstheme="minorBidi" w:hint="default"/>
          <w:smallCaps w:val="0"/>
          <w:noProof/>
          <w:sz w:val="21"/>
          <w:szCs w:val="22"/>
        </w:rPr>
      </w:pPr>
      <w:r w:rsidRPr="00284668">
        <w:rPr>
          <w:rFonts w:ascii="Times New Roman Regular" w:hAnsi="Times New Roman Regular" w:cs="Times New Roman Regular"/>
          <w:noProof/>
        </w:rPr>
        <w:t>2.4</w:t>
      </w:r>
      <w:r>
        <w:rPr>
          <w:rFonts w:asciiTheme="minorHAnsi" w:eastAsiaTheme="minorEastAsia" w:hAnsiTheme="minorHAnsi" w:cstheme="minorBidi" w:hint="default"/>
          <w:smallCaps w:val="0"/>
          <w:noProof/>
          <w:sz w:val="21"/>
          <w:szCs w:val="22"/>
        </w:rPr>
        <w:tab/>
      </w:r>
      <w:r w:rsidRPr="00284668">
        <w:rPr>
          <w:rFonts w:ascii="Times New Roman Regular" w:hAnsi="Times New Roman Regular" w:cs="Times New Roman Regular"/>
          <w:noProof/>
        </w:rPr>
        <w:t>生态环境质量状况</w:t>
      </w:r>
      <w:r>
        <w:rPr>
          <w:noProof/>
        </w:rPr>
        <w:tab/>
      </w:r>
      <w:r>
        <w:rPr>
          <w:noProof/>
        </w:rPr>
        <w:fldChar w:fldCharType="begin"/>
      </w:r>
      <w:r>
        <w:rPr>
          <w:noProof/>
        </w:rPr>
        <w:instrText xml:space="preserve"> PAGEREF _Toc77862688 \h </w:instrText>
      </w:r>
      <w:r>
        <w:rPr>
          <w:noProof/>
        </w:rPr>
        <w:fldChar w:fldCharType="separate"/>
      </w:r>
      <w:r w:rsidR="00F37E1B">
        <w:rPr>
          <w:rFonts w:hint="default"/>
          <w:noProof/>
        </w:rPr>
        <w:t>11</w:t>
      </w:r>
      <w:r>
        <w:rPr>
          <w:noProof/>
        </w:rPr>
        <w:fldChar w:fldCharType="end"/>
      </w:r>
    </w:p>
    <w:p w:rsidR="00B42CBE">
      <w:pPr>
        <w:pStyle w:val="TOC2"/>
        <w:tabs>
          <w:tab w:val="left" w:pos="840"/>
          <w:tab w:val="right" w:leader="dot" w:pos="8296"/>
        </w:tabs>
        <w:rPr>
          <w:rFonts w:asciiTheme="minorHAnsi" w:eastAsiaTheme="minorEastAsia" w:hAnsiTheme="minorHAnsi" w:cstheme="minorBidi" w:hint="default"/>
          <w:smallCaps w:val="0"/>
          <w:noProof/>
          <w:sz w:val="21"/>
          <w:szCs w:val="22"/>
        </w:rPr>
      </w:pPr>
      <w:r w:rsidRPr="00284668">
        <w:rPr>
          <w:rFonts w:ascii="Times New Roman Regular" w:hAnsi="Times New Roman Regular" w:cs="Times New Roman Regular"/>
          <w:noProof/>
        </w:rPr>
        <w:t>2.5</w:t>
      </w:r>
      <w:r>
        <w:rPr>
          <w:rFonts w:asciiTheme="minorHAnsi" w:eastAsiaTheme="minorEastAsia" w:hAnsiTheme="minorHAnsi" w:cstheme="minorBidi" w:hint="default"/>
          <w:smallCaps w:val="0"/>
          <w:noProof/>
          <w:sz w:val="21"/>
          <w:szCs w:val="22"/>
        </w:rPr>
        <w:tab/>
      </w:r>
      <w:r w:rsidRPr="00284668">
        <w:rPr>
          <w:rFonts w:ascii="Times New Roman Regular" w:hAnsi="Times New Roman Regular" w:cs="Times New Roman Regular"/>
          <w:noProof/>
        </w:rPr>
        <w:t>主要污染物排放情况</w:t>
      </w:r>
      <w:r>
        <w:rPr>
          <w:noProof/>
        </w:rPr>
        <w:tab/>
      </w:r>
      <w:r>
        <w:rPr>
          <w:noProof/>
        </w:rPr>
        <w:fldChar w:fldCharType="begin"/>
      </w:r>
      <w:r>
        <w:rPr>
          <w:noProof/>
        </w:rPr>
        <w:instrText xml:space="preserve"> PAGEREF _Toc77862689 \h </w:instrText>
      </w:r>
      <w:r>
        <w:rPr>
          <w:noProof/>
        </w:rPr>
        <w:fldChar w:fldCharType="separate"/>
      </w:r>
      <w:r w:rsidR="00F37E1B">
        <w:rPr>
          <w:rFonts w:hint="default"/>
          <w:noProof/>
        </w:rPr>
        <w:t>14</w:t>
      </w:r>
      <w:r>
        <w:rPr>
          <w:noProof/>
        </w:rPr>
        <w:fldChar w:fldCharType="end"/>
      </w:r>
    </w:p>
    <w:p w:rsidR="00B42CBE">
      <w:pPr>
        <w:pStyle w:val="TOC2"/>
        <w:tabs>
          <w:tab w:val="left" w:pos="840"/>
          <w:tab w:val="right" w:leader="dot" w:pos="8296"/>
        </w:tabs>
        <w:rPr>
          <w:rFonts w:asciiTheme="minorHAnsi" w:eastAsiaTheme="minorEastAsia" w:hAnsiTheme="minorHAnsi" w:cstheme="minorBidi" w:hint="default"/>
          <w:smallCaps w:val="0"/>
          <w:noProof/>
          <w:sz w:val="21"/>
          <w:szCs w:val="22"/>
        </w:rPr>
      </w:pPr>
      <w:r w:rsidRPr="00284668">
        <w:rPr>
          <w:rFonts w:ascii="Times New Roman Regular" w:hAnsi="Times New Roman Regular" w:cs="Times New Roman Regular"/>
          <w:noProof/>
        </w:rPr>
        <w:t>2.6</w:t>
      </w:r>
      <w:r>
        <w:rPr>
          <w:rFonts w:asciiTheme="minorHAnsi" w:eastAsiaTheme="minorEastAsia" w:hAnsiTheme="minorHAnsi" w:cstheme="minorBidi" w:hint="default"/>
          <w:smallCaps w:val="0"/>
          <w:noProof/>
          <w:sz w:val="21"/>
          <w:szCs w:val="22"/>
        </w:rPr>
        <w:tab/>
      </w:r>
      <w:r w:rsidRPr="00284668">
        <w:rPr>
          <w:rFonts w:ascii="Times New Roman Regular" w:hAnsi="Times New Roman Regular" w:cs="Times New Roman Regular"/>
          <w:noProof/>
        </w:rPr>
        <w:t>环保基础设施状况</w:t>
      </w:r>
      <w:r>
        <w:rPr>
          <w:noProof/>
        </w:rPr>
        <w:tab/>
      </w:r>
      <w:r>
        <w:rPr>
          <w:noProof/>
        </w:rPr>
        <w:fldChar w:fldCharType="begin"/>
      </w:r>
      <w:r>
        <w:rPr>
          <w:noProof/>
        </w:rPr>
        <w:instrText xml:space="preserve"> PAGEREF _Toc77862690 \h </w:instrText>
      </w:r>
      <w:r>
        <w:rPr>
          <w:noProof/>
        </w:rPr>
        <w:fldChar w:fldCharType="separate"/>
      </w:r>
      <w:r w:rsidR="00F37E1B">
        <w:rPr>
          <w:rFonts w:hint="default"/>
          <w:noProof/>
        </w:rPr>
        <w:t>20</w:t>
      </w:r>
      <w:r>
        <w:rPr>
          <w:noProof/>
        </w:rPr>
        <w:fldChar w:fldCharType="end"/>
      </w:r>
    </w:p>
    <w:p w:rsidR="00B42CBE">
      <w:pPr>
        <w:pStyle w:val="TOC1"/>
        <w:tabs>
          <w:tab w:val="left" w:pos="420"/>
          <w:tab w:val="right" w:leader="dot" w:pos="8296"/>
        </w:tabs>
        <w:rPr>
          <w:rFonts w:asciiTheme="minorHAnsi" w:eastAsiaTheme="minorEastAsia" w:hAnsiTheme="minorHAnsi" w:cstheme="minorBidi" w:hint="default"/>
          <w:b w:val="0"/>
          <w:caps w:val="0"/>
          <w:noProof/>
          <w:sz w:val="21"/>
          <w:szCs w:val="22"/>
        </w:rPr>
      </w:pPr>
      <w:r w:rsidRPr="00284668">
        <w:rPr>
          <w:rFonts w:ascii="Times New Roman Regular" w:hAnsi="Times New Roman Regular" w:cs="Times New Roman Regular"/>
          <w:noProof/>
        </w:rPr>
        <w:t>3</w:t>
      </w:r>
      <w:r>
        <w:rPr>
          <w:rFonts w:asciiTheme="minorHAnsi" w:eastAsiaTheme="minorEastAsia" w:hAnsiTheme="minorHAnsi" w:cstheme="minorBidi" w:hint="default"/>
          <w:b w:val="0"/>
          <w:caps w:val="0"/>
          <w:noProof/>
          <w:sz w:val="21"/>
          <w:szCs w:val="22"/>
        </w:rPr>
        <w:tab/>
      </w:r>
      <w:r w:rsidRPr="00284668">
        <w:rPr>
          <w:rFonts w:ascii="Times New Roman Regular" w:hAnsi="Times New Roman Regular" w:cs="Times New Roman Regular"/>
          <w:noProof/>
        </w:rPr>
        <w:t>“十三五”生态环境保护工作回顾</w:t>
      </w:r>
      <w:r>
        <w:rPr>
          <w:noProof/>
        </w:rPr>
        <w:tab/>
      </w:r>
      <w:r>
        <w:rPr>
          <w:noProof/>
        </w:rPr>
        <w:fldChar w:fldCharType="begin"/>
      </w:r>
      <w:r>
        <w:rPr>
          <w:noProof/>
        </w:rPr>
        <w:instrText xml:space="preserve"> PAGEREF _Toc77862691 \h </w:instrText>
      </w:r>
      <w:r>
        <w:rPr>
          <w:noProof/>
        </w:rPr>
        <w:fldChar w:fldCharType="separate"/>
      </w:r>
      <w:r w:rsidR="00F37E1B">
        <w:rPr>
          <w:rFonts w:hint="default"/>
          <w:noProof/>
        </w:rPr>
        <w:t>22</w:t>
      </w:r>
      <w:r>
        <w:rPr>
          <w:noProof/>
        </w:rPr>
        <w:fldChar w:fldCharType="end"/>
      </w:r>
    </w:p>
    <w:p w:rsidR="00B42CBE">
      <w:pPr>
        <w:pStyle w:val="TOC2"/>
        <w:tabs>
          <w:tab w:val="left" w:pos="840"/>
          <w:tab w:val="right" w:leader="dot" w:pos="8296"/>
        </w:tabs>
        <w:rPr>
          <w:rFonts w:asciiTheme="minorHAnsi" w:eastAsiaTheme="minorEastAsia" w:hAnsiTheme="minorHAnsi" w:cstheme="minorBidi" w:hint="default"/>
          <w:smallCaps w:val="0"/>
          <w:noProof/>
          <w:sz w:val="21"/>
          <w:szCs w:val="22"/>
        </w:rPr>
      </w:pPr>
      <w:r w:rsidRPr="00284668">
        <w:rPr>
          <w:rFonts w:ascii="Times New Roman Regular" w:hAnsi="Times New Roman Regular" w:cs="Times New Roman Regular"/>
          <w:noProof/>
        </w:rPr>
        <w:t>3.1</w:t>
      </w:r>
      <w:r>
        <w:rPr>
          <w:rFonts w:asciiTheme="minorHAnsi" w:eastAsiaTheme="minorEastAsia" w:hAnsiTheme="minorHAnsi" w:cstheme="minorBidi" w:hint="default"/>
          <w:smallCaps w:val="0"/>
          <w:noProof/>
          <w:sz w:val="21"/>
          <w:szCs w:val="22"/>
        </w:rPr>
        <w:tab/>
      </w:r>
      <w:r w:rsidRPr="00284668">
        <w:rPr>
          <w:rFonts w:ascii="Times New Roman Regular" w:hAnsi="Times New Roman Regular" w:cs="Times New Roman Regular"/>
          <w:noProof/>
        </w:rPr>
        <w:t>生态环境保护工作取得的成效</w:t>
      </w:r>
      <w:r>
        <w:rPr>
          <w:noProof/>
        </w:rPr>
        <w:tab/>
      </w:r>
      <w:r>
        <w:rPr>
          <w:noProof/>
        </w:rPr>
        <w:fldChar w:fldCharType="begin"/>
      </w:r>
      <w:r>
        <w:rPr>
          <w:noProof/>
        </w:rPr>
        <w:instrText xml:space="preserve"> PAGEREF _Toc77862692 \h </w:instrText>
      </w:r>
      <w:r>
        <w:rPr>
          <w:noProof/>
        </w:rPr>
        <w:fldChar w:fldCharType="separate"/>
      </w:r>
      <w:r w:rsidR="00F37E1B">
        <w:rPr>
          <w:rFonts w:hint="default"/>
          <w:noProof/>
        </w:rPr>
        <w:t>22</w:t>
      </w:r>
      <w:r>
        <w:rPr>
          <w:noProof/>
        </w:rPr>
        <w:fldChar w:fldCharType="end"/>
      </w:r>
    </w:p>
    <w:p w:rsidR="00B42CBE">
      <w:pPr>
        <w:pStyle w:val="TOC2"/>
        <w:tabs>
          <w:tab w:val="left" w:pos="840"/>
          <w:tab w:val="right" w:leader="dot" w:pos="8296"/>
        </w:tabs>
        <w:rPr>
          <w:rFonts w:asciiTheme="minorHAnsi" w:eastAsiaTheme="minorEastAsia" w:hAnsiTheme="minorHAnsi" w:cstheme="minorBidi" w:hint="default"/>
          <w:smallCaps w:val="0"/>
          <w:noProof/>
          <w:sz w:val="21"/>
          <w:szCs w:val="22"/>
        </w:rPr>
      </w:pPr>
      <w:r w:rsidRPr="00284668">
        <w:rPr>
          <w:rFonts w:ascii="Times New Roman Regular" w:hAnsi="Times New Roman Regular" w:cs="Times New Roman Regular"/>
          <w:noProof/>
        </w:rPr>
        <w:t>3.2</w:t>
      </w:r>
      <w:r>
        <w:rPr>
          <w:rFonts w:asciiTheme="minorHAnsi" w:eastAsiaTheme="minorEastAsia" w:hAnsiTheme="minorHAnsi" w:cstheme="minorBidi" w:hint="default"/>
          <w:smallCaps w:val="0"/>
          <w:noProof/>
          <w:sz w:val="21"/>
          <w:szCs w:val="22"/>
        </w:rPr>
        <w:tab/>
      </w:r>
      <w:r w:rsidRPr="00284668">
        <w:rPr>
          <w:rFonts w:ascii="Times New Roman Regular" w:hAnsi="Times New Roman Regular" w:cs="Times New Roman Regular"/>
          <w:noProof/>
        </w:rPr>
        <w:t>“十三五”指标完成情况</w:t>
      </w:r>
      <w:r>
        <w:rPr>
          <w:noProof/>
        </w:rPr>
        <w:tab/>
      </w:r>
      <w:r>
        <w:rPr>
          <w:noProof/>
        </w:rPr>
        <w:fldChar w:fldCharType="begin"/>
      </w:r>
      <w:r>
        <w:rPr>
          <w:noProof/>
        </w:rPr>
        <w:instrText xml:space="preserve"> PAGEREF _Toc77862693 \h </w:instrText>
      </w:r>
      <w:r>
        <w:rPr>
          <w:noProof/>
        </w:rPr>
        <w:fldChar w:fldCharType="separate"/>
      </w:r>
      <w:r w:rsidR="00F37E1B">
        <w:rPr>
          <w:rFonts w:hint="default"/>
          <w:noProof/>
        </w:rPr>
        <w:t>29</w:t>
      </w:r>
      <w:r>
        <w:rPr>
          <w:noProof/>
        </w:rPr>
        <w:fldChar w:fldCharType="end"/>
      </w:r>
    </w:p>
    <w:p w:rsidR="00B42CBE">
      <w:pPr>
        <w:pStyle w:val="TOC2"/>
        <w:tabs>
          <w:tab w:val="left" w:pos="840"/>
          <w:tab w:val="right" w:leader="dot" w:pos="8296"/>
        </w:tabs>
        <w:rPr>
          <w:rFonts w:asciiTheme="minorHAnsi" w:eastAsiaTheme="minorEastAsia" w:hAnsiTheme="minorHAnsi" w:cstheme="minorBidi" w:hint="default"/>
          <w:smallCaps w:val="0"/>
          <w:noProof/>
          <w:sz w:val="21"/>
          <w:szCs w:val="22"/>
        </w:rPr>
      </w:pPr>
      <w:r w:rsidRPr="00284668">
        <w:rPr>
          <w:rFonts w:ascii="Times New Roman Regular" w:hAnsi="Times New Roman Regular" w:cs="Times New Roman Regular"/>
          <w:noProof/>
        </w:rPr>
        <w:t>3.3</w:t>
      </w:r>
      <w:r>
        <w:rPr>
          <w:rFonts w:asciiTheme="minorHAnsi" w:eastAsiaTheme="minorEastAsia" w:hAnsiTheme="minorHAnsi" w:cstheme="minorBidi" w:hint="default"/>
          <w:smallCaps w:val="0"/>
          <w:noProof/>
          <w:sz w:val="21"/>
          <w:szCs w:val="22"/>
        </w:rPr>
        <w:tab/>
      </w:r>
      <w:r w:rsidRPr="00284668">
        <w:rPr>
          <w:rFonts w:ascii="Times New Roman Regular" w:hAnsi="Times New Roman Regular" w:cs="Times New Roman Regular"/>
          <w:noProof/>
        </w:rPr>
        <w:t>“十三五”重点工程项目完成情况</w:t>
      </w:r>
      <w:r>
        <w:rPr>
          <w:noProof/>
        </w:rPr>
        <w:tab/>
      </w:r>
      <w:r>
        <w:rPr>
          <w:noProof/>
        </w:rPr>
        <w:fldChar w:fldCharType="begin"/>
      </w:r>
      <w:r>
        <w:rPr>
          <w:noProof/>
        </w:rPr>
        <w:instrText xml:space="preserve"> PAGEREF _Toc77862694 \h </w:instrText>
      </w:r>
      <w:r>
        <w:rPr>
          <w:noProof/>
        </w:rPr>
        <w:fldChar w:fldCharType="separate"/>
      </w:r>
      <w:r w:rsidR="00F37E1B">
        <w:rPr>
          <w:rFonts w:hint="default"/>
          <w:noProof/>
        </w:rPr>
        <w:t>32</w:t>
      </w:r>
      <w:r>
        <w:rPr>
          <w:noProof/>
        </w:rPr>
        <w:fldChar w:fldCharType="end"/>
      </w:r>
    </w:p>
    <w:p w:rsidR="00B42CBE">
      <w:pPr>
        <w:pStyle w:val="TOC2"/>
        <w:tabs>
          <w:tab w:val="left" w:pos="840"/>
          <w:tab w:val="right" w:leader="dot" w:pos="8296"/>
        </w:tabs>
        <w:rPr>
          <w:rFonts w:asciiTheme="minorHAnsi" w:eastAsiaTheme="minorEastAsia" w:hAnsiTheme="minorHAnsi" w:cstheme="minorBidi" w:hint="default"/>
          <w:smallCaps w:val="0"/>
          <w:noProof/>
          <w:sz w:val="21"/>
          <w:szCs w:val="22"/>
        </w:rPr>
      </w:pPr>
      <w:r w:rsidRPr="00284668">
        <w:rPr>
          <w:rFonts w:ascii="Times New Roman Regular" w:hAnsi="Times New Roman Regular" w:cs="Times New Roman Regular"/>
          <w:noProof/>
        </w:rPr>
        <w:t>3.4</w:t>
      </w:r>
      <w:r>
        <w:rPr>
          <w:rFonts w:asciiTheme="minorHAnsi" w:eastAsiaTheme="minorEastAsia" w:hAnsiTheme="minorHAnsi" w:cstheme="minorBidi" w:hint="default"/>
          <w:smallCaps w:val="0"/>
          <w:noProof/>
          <w:sz w:val="21"/>
          <w:szCs w:val="22"/>
        </w:rPr>
        <w:tab/>
      </w:r>
      <w:r w:rsidRPr="00284668">
        <w:rPr>
          <w:rFonts w:ascii="Times New Roman Regular" w:hAnsi="Times New Roman Regular" w:cs="Times New Roman Regular"/>
          <w:noProof/>
        </w:rPr>
        <w:t>存在的主要问题</w:t>
      </w:r>
      <w:r>
        <w:rPr>
          <w:noProof/>
        </w:rPr>
        <w:tab/>
      </w:r>
      <w:r>
        <w:rPr>
          <w:noProof/>
        </w:rPr>
        <w:fldChar w:fldCharType="begin"/>
      </w:r>
      <w:r>
        <w:rPr>
          <w:noProof/>
        </w:rPr>
        <w:instrText xml:space="preserve"> PAGEREF _Toc77862695 \h </w:instrText>
      </w:r>
      <w:r>
        <w:rPr>
          <w:noProof/>
        </w:rPr>
        <w:fldChar w:fldCharType="separate"/>
      </w:r>
      <w:r w:rsidR="00F37E1B">
        <w:rPr>
          <w:rFonts w:hint="default"/>
          <w:noProof/>
        </w:rPr>
        <w:t>32</w:t>
      </w:r>
      <w:r>
        <w:rPr>
          <w:noProof/>
        </w:rPr>
        <w:fldChar w:fldCharType="end"/>
      </w:r>
    </w:p>
    <w:p w:rsidR="00B42CBE">
      <w:pPr>
        <w:pStyle w:val="TOC1"/>
        <w:tabs>
          <w:tab w:val="left" w:pos="420"/>
          <w:tab w:val="right" w:leader="dot" w:pos="8296"/>
        </w:tabs>
        <w:rPr>
          <w:rFonts w:asciiTheme="minorHAnsi" w:eastAsiaTheme="minorEastAsia" w:hAnsiTheme="minorHAnsi" w:cstheme="minorBidi" w:hint="default"/>
          <w:b w:val="0"/>
          <w:caps w:val="0"/>
          <w:noProof/>
          <w:sz w:val="21"/>
          <w:szCs w:val="22"/>
        </w:rPr>
      </w:pPr>
      <w:r w:rsidRPr="00284668">
        <w:rPr>
          <w:rFonts w:ascii="Times New Roman Regular" w:hAnsi="Times New Roman Regular" w:cs="Times New Roman Regular"/>
          <w:noProof/>
        </w:rPr>
        <w:t>4</w:t>
      </w:r>
      <w:r>
        <w:rPr>
          <w:rFonts w:asciiTheme="minorHAnsi" w:eastAsiaTheme="minorEastAsia" w:hAnsiTheme="minorHAnsi" w:cstheme="minorBidi" w:hint="default"/>
          <w:b w:val="0"/>
          <w:caps w:val="0"/>
          <w:noProof/>
          <w:sz w:val="21"/>
          <w:szCs w:val="22"/>
        </w:rPr>
        <w:tab/>
      </w:r>
      <w:r w:rsidRPr="00284668">
        <w:rPr>
          <w:rFonts w:ascii="Times New Roman Regular" w:hAnsi="Times New Roman Regular" w:cs="Times New Roman Regular"/>
          <w:noProof/>
        </w:rPr>
        <w:t>“十四五”生态环境保护形势分析</w:t>
      </w:r>
      <w:r>
        <w:rPr>
          <w:noProof/>
        </w:rPr>
        <w:tab/>
      </w:r>
      <w:r>
        <w:rPr>
          <w:noProof/>
        </w:rPr>
        <w:fldChar w:fldCharType="begin"/>
      </w:r>
      <w:r>
        <w:rPr>
          <w:noProof/>
        </w:rPr>
        <w:instrText xml:space="preserve"> PAGEREF _Toc77862696 \h </w:instrText>
      </w:r>
      <w:r>
        <w:rPr>
          <w:noProof/>
        </w:rPr>
        <w:fldChar w:fldCharType="separate"/>
      </w:r>
      <w:r w:rsidR="00F37E1B">
        <w:rPr>
          <w:rFonts w:hint="default"/>
          <w:noProof/>
        </w:rPr>
        <w:t>35</w:t>
      </w:r>
      <w:r>
        <w:rPr>
          <w:noProof/>
        </w:rPr>
        <w:fldChar w:fldCharType="end"/>
      </w:r>
    </w:p>
    <w:p w:rsidR="00B42CBE">
      <w:pPr>
        <w:pStyle w:val="TOC2"/>
        <w:tabs>
          <w:tab w:val="left" w:pos="840"/>
          <w:tab w:val="right" w:leader="dot" w:pos="8296"/>
        </w:tabs>
        <w:rPr>
          <w:rFonts w:asciiTheme="minorHAnsi" w:eastAsiaTheme="minorEastAsia" w:hAnsiTheme="minorHAnsi" w:cstheme="minorBidi" w:hint="default"/>
          <w:smallCaps w:val="0"/>
          <w:noProof/>
          <w:sz w:val="21"/>
          <w:szCs w:val="22"/>
        </w:rPr>
      </w:pPr>
      <w:r w:rsidRPr="00284668">
        <w:rPr>
          <w:rFonts w:ascii="Times New Roman Regular" w:hAnsi="Times New Roman Regular" w:cs="Times New Roman Regular"/>
          <w:noProof/>
        </w:rPr>
        <w:t>4.1</w:t>
      </w:r>
      <w:r>
        <w:rPr>
          <w:rFonts w:asciiTheme="minorHAnsi" w:eastAsiaTheme="minorEastAsia" w:hAnsiTheme="minorHAnsi" w:cstheme="minorBidi" w:hint="default"/>
          <w:smallCaps w:val="0"/>
          <w:noProof/>
          <w:sz w:val="21"/>
          <w:szCs w:val="22"/>
        </w:rPr>
        <w:tab/>
      </w:r>
      <w:r w:rsidRPr="00284668">
        <w:rPr>
          <w:rFonts w:ascii="Times New Roman Regular" w:hAnsi="Times New Roman Regular" w:cs="Times New Roman Regular"/>
          <w:noProof/>
        </w:rPr>
        <w:t>面临的机遇</w:t>
      </w:r>
      <w:r>
        <w:rPr>
          <w:noProof/>
        </w:rPr>
        <w:tab/>
      </w:r>
      <w:r>
        <w:rPr>
          <w:noProof/>
        </w:rPr>
        <w:fldChar w:fldCharType="begin"/>
      </w:r>
      <w:r>
        <w:rPr>
          <w:noProof/>
        </w:rPr>
        <w:instrText xml:space="preserve"> PAGEREF _Toc77862697 \h </w:instrText>
      </w:r>
      <w:r>
        <w:rPr>
          <w:noProof/>
        </w:rPr>
        <w:fldChar w:fldCharType="separate"/>
      </w:r>
      <w:r w:rsidR="00F37E1B">
        <w:rPr>
          <w:rFonts w:hint="default"/>
          <w:noProof/>
        </w:rPr>
        <w:t>35</w:t>
      </w:r>
      <w:r>
        <w:rPr>
          <w:noProof/>
        </w:rPr>
        <w:fldChar w:fldCharType="end"/>
      </w:r>
    </w:p>
    <w:p w:rsidR="00B42CBE">
      <w:pPr>
        <w:pStyle w:val="TOC2"/>
        <w:tabs>
          <w:tab w:val="left" w:pos="840"/>
          <w:tab w:val="right" w:leader="dot" w:pos="8296"/>
        </w:tabs>
        <w:rPr>
          <w:rFonts w:asciiTheme="minorHAnsi" w:eastAsiaTheme="minorEastAsia" w:hAnsiTheme="minorHAnsi" w:cstheme="minorBidi" w:hint="default"/>
          <w:smallCaps w:val="0"/>
          <w:noProof/>
          <w:sz w:val="21"/>
          <w:szCs w:val="22"/>
        </w:rPr>
      </w:pPr>
      <w:r w:rsidRPr="00284668">
        <w:rPr>
          <w:rFonts w:ascii="Times New Roman Regular" w:hAnsi="Times New Roman Regular" w:cs="Times New Roman Regular"/>
          <w:noProof/>
        </w:rPr>
        <w:t>4.2</w:t>
      </w:r>
      <w:r>
        <w:rPr>
          <w:rFonts w:asciiTheme="minorHAnsi" w:eastAsiaTheme="minorEastAsia" w:hAnsiTheme="minorHAnsi" w:cstheme="minorBidi" w:hint="default"/>
          <w:smallCaps w:val="0"/>
          <w:noProof/>
          <w:sz w:val="21"/>
          <w:szCs w:val="22"/>
        </w:rPr>
        <w:tab/>
      </w:r>
      <w:r w:rsidRPr="00284668">
        <w:rPr>
          <w:rFonts w:ascii="Times New Roman Regular" w:hAnsi="Times New Roman Regular" w:cs="Times New Roman Regular"/>
          <w:noProof/>
        </w:rPr>
        <w:t>面临的挑战</w:t>
      </w:r>
      <w:r>
        <w:rPr>
          <w:noProof/>
        </w:rPr>
        <w:tab/>
      </w:r>
      <w:r>
        <w:rPr>
          <w:noProof/>
        </w:rPr>
        <w:fldChar w:fldCharType="begin"/>
      </w:r>
      <w:r>
        <w:rPr>
          <w:noProof/>
        </w:rPr>
        <w:instrText xml:space="preserve"> PAGEREF _Toc77862698 \h </w:instrText>
      </w:r>
      <w:r>
        <w:rPr>
          <w:noProof/>
        </w:rPr>
        <w:fldChar w:fldCharType="separate"/>
      </w:r>
      <w:r w:rsidR="00F37E1B">
        <w:rPr>
          <w:rFonts w:hint="default"/>
          <w:noProof/>
        </w:rPr>
        <w:t>37</w:t>
      </w:r>
      <w:r>
        <w:rPr>
          <w:noProof/>
        </w:rPr>
        <w:fldChar w:fldCharType="end"/>
      </w:r>
    </w:p>
    <w:p w:rsidR="00B42CBE">
      <w:pPr>
        <w:pStyle w:val="TOC1"/>
        <w:tabs>
          <w:tab w:val="left" w:pos="420"/>
          <w:tab w:val="right" w:leader="dot" w:pos="8296"/>
        </w:tabs>
        <w:rPr>
          <w:rFonts w:asciiTheme="minorHAnsi" w:eastAsiaTheme="minorEastAsia" w:hAnsiTheme="minorHAnsi" w:cstheme="minorBidi" w:hint="default"/>
          <w:b w:val="0"/>
          <w:caps w:val="0"/>
          <w:noProof/>
          <w:sz w:val="21"/>
          <w:szCs w:val="22"/>
        </w:rPr>
      </w:pPr>
      <w:r w:rsidRPr="00284668">
        <w:rPr>
          <w:rFonts w:ascii="Times New Roman Regular" w:hAnsi="Times New Roman Regular" w:cs="Times New Roman Regular"/>
          <w:noProof/>
        </w:rPr>
        <w:t>5</w:t>
      </w:r>
      <w:r>
        <w:rPr>
          <w:rFonts w:asciiTheme="minorHAnsi" w:eastAsiaTheme="minorEastAsia" w:hAnsiTheme="minorHAnsi" w:cstheme="minorBidi" w:hint="default"/>
          <w:b w:val="0"/>
          <w:caps w:val="0"/>
          <w:noProof/>
          <w:sz w:val="21"/>
          <w:szCs w:val="22"/>
        </w:rPr>
        <w:tab/>
      </w:r>
      <w:r w:rsidRPr="00284668">
        <w:rPr>
          <w:rFonts w:ascii="Times New Roman Regular" w:hAnsi="Times New Roman Regular" w:cs="Times New Roman Regular"/>
          <w:noProof/>
        </w:rPr>
        <w:t>“十四五”规划目标与指标体系</w:t>
      </w:r>
      <w:r>
        <w:rPr>
          <w:noProof/>
        </w:rPr>
        <w:tab/>
      </w:r>
      <w:r>
        <w:rPr>
          <w:noProof/>
        </w:rPr>
        <w:fldChar w:fldCharType="begin"/>
      </w:r>
      <w:r>
        <w:rPr>
          <w:noProof/>
        </w:rPr>
        <w:instrText xml:space="preserve"> PAGEREF _Toc77862699 \h </w:instrText>
      </w:r>
      <w:r>
        <w:rPr>
          <w:noProof/>
        </w:rPr>
        <w:fldChar w:fldCharType="separate"/>
      </w:r>
      <w:r w:rsidR="00F37E1B">
        <w:rPr>
          <w:rFonts w:hint="default"/>
          <w:noProof/>
        </w:rPr>
        <w:t>39</w:t>
      </w:r>
      <w:r>
        <w:rPr>
          <w:noProof/>
        </w:rPr>
        <w:fldChar w:fldCharType="end"/>
      </w:r>
    </w:p>
    <w:p w:rsidR="00B42CBE">
      <w:pPr>
        <w:pStyle w:val="TOC2"/>
        <w:tabs>
          <w:tab w:val="left" w:pos="840"/>
          <w:tab w:val="right" w:leader="dot" w:pos="8296"/>
        </w:tabs>
        <w:rPr>
          <w:rFonts w:asciiTheme="minorHAnsi" w:eastAsiaTheme="minorEastAsia" w:hAnsiTheme="minorHAnsi" w:cstheme="minorBidi" w:hint="default"/>
          <w:smallCaps w:val="0"/>
          <w:noProof/>
          <w:sz w:val="21"/>
          <w:szCs w:val="22"/>
        </w:rPr>
      </w:pPr>
      <w:r w:rsidRPr="00284668">
        <w:rPr>
          <w:rFonts w:ascii="Times New Roman Regular" w:hAnsi="Times New Roman Regular" w:cs="Times New Roman Regular"/>
          <w:noProof/>
        </w:rPr>
        <w:t>5.1</w:t>
      </w:r>
      <w:r>
        <w:rPr>
          <w:rFonts w:asciiTheme="minorHAnsi" w:eastAsiaTheme="minorEastAsia" w:hAnsiTheme="minorHAnsi" w:cstheme="minorBidi" w:hint="default"/>
          <w:smallCaps w:val="0"/>
          <w:noProof/>
          <w:sz w:val="21"/>
          <w:szCs w:val="22"/>
        </w:rPr>
        <w:tab/>
      </w:r>
      <w:r w:rsidRPr="00284668">
        <w:rPr>
          <w:rFonts w:ascii="Times New Roman Regular" w:hAnsi="Times New Roman Regular" w:cs="Times New Roman Regular"/>
          <w:noProof/>
        </w:rPr>
        <w:t>指导思想</w:t>
      </w:r>
      <w:r>
        <w:rPr>
          <w:noProof/>
        </w:rPr>
        <w:tab/>
      </w:r>
      <w:r>
        <w:rPr>
          <w:noProof/>
        </w:rPr>
        <w:fldChar w:fldCharType="begin"/>
      </w:r>
      <w:r>
        <w:rPr>
          <w:noProof/>
        </w:rPr>
        <w:instrText xml:space="preserve"> PAGEREF _Toc77862700 \h </w:instrText>
      </w:r>
      <w:r>
        <w:rPr>
          <w:noProof/>
        </w:rPr>
        <w:fldChar w:fldCharType="separate"/>
      </w:r>
      <w:r w:rsidR="00F37E1B">
        <w:rPr>
          <w:rFonts w:hint="default"/>
          <w:noProof/>
        </w:rPr>
        <w:t>39</w:t>
      </w:r>
      <w:r>
        <w:rPr>
          <w:noProof/>
        </w:rPr>
        <w:fldChar w:fldCharType="end"/>
      </w:r>
    </w:p>
    <w:p w:rsidR="00B42CBE">
      <w:pPr>
        <w:pStyle w:val="TOC2"/>
        <w:tabs>
          <w:tab w:val="left" w:pos="840"/>
          <w:tab w:val="right" w:leader="dot" w:pos="8296"/>
        </w:tabs>
        <w:rPr>
          <w:rFonts w:asciiTheme="minorHAnsi" w:eastAsiaTheme="minorEastAsia" w:hAnsiTheme="minorHAnsi" w:cstheme="minorBidi" w:hint="default"/>
          <w:smallCaps w:val="0"/>
          <w:noProof/>
          <w:sz w:val="21"/>
          <w:szCs w:val="22"/>
        </w:rPr>
      </w:pPr>
      <w:r w:rsidRPr="00284668">
        <w:rPr>
          <w:rFonts w:ascii="Times New Roman Regular" w:hAnsi="Times New Roman Regular" w:cs="Times New Roman Regular"/>
          <w:noProof/>
        </w:rPr>
        <w:t>5.2</w:t>
      </w:r>
      <w:r>
        <w:rPr>
          <w:rFonts w:asciiTheme="minorHAnsi" w:eastAsiaTheme="minorEastAsia" w:hAnsiTheme="minorHAnsi" w:cstheme="minorBidi" w:hint="default"/>
          <w:smallCaps w:val="0"/>
          <w:noProof/>
          <w:sz w:val="21"/>
          <w:szCs w:val="22"/>
        </w:rPr>
        <w:tab/>
      </w:r>
      <w:r w:rsidRPr="00284668">
        <w:rPr>
          <w:rFonts w:ascii="Times New Roman Regular" w:hAnsi="Times New Roman Regular" w:cs="Times New Roman Regular"/>
          <w:noProof/>
        </w:rPr>
        <w:t>基本原则</w:t>
      </w:r>
      <w:r>
        <w:rPr>
          <w:noProof/>
        </w:rPr>
        <w:tab/>
      </w:r>
      <w:r>
        <w:rPr>
          <w:noProof/>
        </w:rPr>
        <w:fldChar w:fldCharType="begin"/>
      </w:r>
      <w:r>
        <w:rPr>
          <w:noProof/>
        </w:rPr>
        <w:instrText xml:space="preserve"> PAGEREF _Toc77862701 \h </w:instrText>
      </w:r>
      <w:r>
        <w:rPr>
          <w:noProof/>
        </w:rPr>
        <w:fldChar w:fldCharType="separate"/>
      </w:r>
      <w:r w:rsidR="00F37E1B">
        <w:rPr>
          <w:rFonts w:hint="default"/>
          <w:noProof/>
        </w:rPr>
        <w:t>39</w:t>
      </w:r>
      <w:r>
        <w:rPr>
          <w:noProof/>
        </w:rPr>
        <w:fldChar w:fldCharType="end"/>
      </w:r>
    </w:p>
    <w:p w:rsidR="00B42CBE">
      <w:pPr>
        <w:pStyle w:val="TOC2"/>
        <w:tabs>
          <w:tab w:val="left" w:pos="840"/>
          <w:tab w:val="right" w:leader="dot" w:pos="8296"/>
        </w:tabs>
        <w:rPr>
          <w:rFonts w:asciiTheme="minorHAnsi" w:eastAsiaTheme="minorEastAsia" w:hAnsiTheme="minorHAnsi" w:cstheme="minorBidi" w:hint="default"/>
          <w:smallCaps w:val="0"/>
          <w:noProof/>
          <w:sz w:val="21"/>
          <w:szCs w:val="22"/>
        </w:rPr>
      </w:pPr>
      <w:r w:rsidRPr="00284668">
        <w:rPr>
          <w:rFonts w:ascii="Times New Roman Regular" w:hAnsi="Times New Roman Regular" w:cs="Times New Roman Regular"/>
          <w:noProof/>
        </w:rPr>
        <w:t>5.3</w:t>
      </w:r>
      <w:r>
        <w:rPr>
          <w:rFonts w:asciiTheme="minorHAnsi" w:eastAsiaTheme="minorEastAsia" w:hAnsiTheme="minorHAnsi" w:cstheme="minorBidi" w:hint="default"/>
          <w:smallCaps w:val="0"/>
          <w:noProof/>
          <w:sz w:val="21"/>
          <w:szCs w:val="22"/>
        </w:rPr>
        <w:tab/>
      </w:r>
      <w:r w:rsidRPr="00284668">
        <w:rPr>
          <w:rFonts w:ascii="Times New Roman Regular" w:hAnsi="Times New Roman Regular" w:cs="Times New Roman Regular"/>
          <w:noProof/>
        </w:rPr>
        <w:t>总体目标</w:t>
      </w:r>
      <w:r>
        <w:rPr>
          <w:noProof/>
        </w:rPr>
        <w:tab/>
      </w:r>
      <w:r>
        <w:rPr>
          <w:noProof/>
        </w:rPr>
        <w:fldChar w:fldCharType="begin"/>
      </w:r>
      <w:r>
        <w:rPr>
          <w:noProof/>
        </w:rPr>
        <w:instrText xml:space="preserve"> PAGEREF _Toc77862702 \h </w:instrText>
      </w:r>
      <w:r>
        <w:rPr>
          <w:noProof/>
        </w:rPr>
        <w:fldChar w:fldCharType="separate"/>
      </w:r>
      <w:r w:rsidR="00F37E1B">
        <w:rPr>
          <w:rFonts w:hint="default"/>
          <w:noProof/>
        </w:rPr>
        <w:t>40</w:t>
      </w:r>
      <w:r>
        <w:rPr>
          <w:noProof/>
        </w:rPr>
        <w:fldChar w:fldCharType="end"/>
      </w:r>
    </w:p>
    <w:p w:rsidR="00B42CBE">
      <w:pPr>
        <w:pStyle w:val="TOC2"/>
        <w:tabs>
          <w:tab w:val="left" w:pos="840"/>
          <w:tab w:val="right" w:leader="dot" w:pos="8296"/>
        </w:tabs>
        <w:rPr>
          <w:rFonts w:asciiTheme="minorHAnsi" w:eastAsiaTheme="minorEastAsia" w:hAnsiTheme="minorHAnsi" w:cstheme="minorBidi" w:hint="default"/>
          <w:smallCaps w:val="0"/>
          <w:noProof/>
          <w:sz w:val="21"/>
          <w:szCs w:val="22"/>
        </w:rPr>
      </w:pPr>
      <w:r w:rsidRPr="00284668">
        <w:rPr>
          <w:rFonts w:ascii="Times New Roman Regular" w:hAnsi="Times New Roman Regular" w:cs="Times New Roman Regular"/>
          <w:noProof/>
        </w:rPr>
        <w:t>5.4</w:t>
      </w:r>
      <w:r>
        <w:rPr>
          <w:rFonts w:asciiTheme="minorHAnsi" w:eastAsiaTheme="minorEastAsia" w:hAnsiTheme="minorHAnsi" w:cstheme="minorBidi" w:hint="default"/>
          <w:smallCaps w:val="0"/>
          <w:noProof/>
          <w:sz w:val="21"/>
          <w:szCs w:val="22"/>
        </w:rPr>
        <w:tab/>
      </w:r>
      <w:r w:rsidRPr="00284668">
        <w:rPr>
          <w:rFonts w:ascii="Times New Roman Regular" w:hAnsi="Times New Roman Regular" w:cs="Times New Roman Regular"/>
          <w:noProof/>
        </w:rPr>
        <w:t>指标体系</w:t>
      </w:r>
      <w:r>
        <w:rPr>
          <w:noProof/>
        </w:rPr>
        <w:tab/>
      </w:r>
      <w:r>
        <w:rPr>
          <w:noProof/>
        </w:rPr>
        <w:fldChar w:fldCharType="begin"/>
      </w:r>
      <w:r>
        <w:rPr>
          <w:noProof/>
        </w:rPr>
        <w:instrText xml:space="preserve"> PAGEREF _Toc77862703 \h </w:instrText>
      </w:r>
      <w:r>
        <w:rPr>
          <w:noProof/>
        </w:rPr>
        <w:fldChar w:fldCharType="separate"/>
      </w:r>
      <w:r w:rsidR="00F37E1B">
        <w:rPr>
          <w:rFonts w:hint="default"/>
          <w:noProof/>
        </w:rPr>
        <w:t>42</w:t>
      </w:r>
      <w:r>
        <w:rPr>
          <w:noProof/>
        </w:rPr>
        <w:fldChar w:fldCharType="end"/>
      </w:r>
    </w:p>
    <w:p w:rsidR="00B42CBE">
      <w:pPr>
        <w:pStyle w:val="TOC1"/>
        <w:tabs>
          <w:tab w:val="left" w:pos="630"/>
          <w:tab w:val="right" w:leader="dot" w:pos="8296"/>
        </w:tabs>
        <w:rPr>
          <w:rFonts w:asciiTheme="minorHAnsi" w:eastAsiaTheme="minorEastAsia" w:hAnsiTheme="minorHAnsi" w:cstheme="minorBidi" w:hint="default"/>
          <w:b w:val="0"/>
          <w:caps w:val="0"/>
          <w:noProof/>
          <w:sz w:val="21"/>
          <w:szCs w:val="22"/>
        </w:rPr>
      </w:pPr>
      <w:r w:rsidRPr="00284668">
        <w:rPr>
          <w:rFonts w:ascii="Times New Roman Regular" w:hAnsi="Times New Roman Regular" w:cs="Times New Roman Regular"/>
          <w:noProof/>
        </w:rPr>
        <w:t>6</w:t>
      </w:r>
      <w:r>
        <w:rPr>
          <w:rFonts w:asciiTheme="minorHAnsi" w:eastAsiaTheme="minorEastAsia" w:hAnsiTheme="minorHAnsi" w:cstheme="minorBidi" w:hint="default"/>
          <w:b w:val="0"/>
          <w:caps w:val="0"/>
          <w:noProof/>
          <w:sz w:val="21"/>
          <w:szCs w:val="22"/>
        </w:rPr>
        <w:tab/>
      </w:r>
      <w:r w:rsidRPr="00284668">
        <w:rPr>
          <w:rFonts w:ascii="Times New Roman Regular" w:hAnsi="Times New Roman Regular" w:cs="Times New Roman Regular"/>
          <w:noProof/>
        </w:rPr>
        <w:t>主要任务</w:t>
      </w:r>
      <w:r>
        <w:rPr>
          <w:noProof/>
        </w:rPr>
        <w:tab/>
      </w:r>
      <w:r>
        <w:rPr>
          <w:noProof/>
        </w:rPr>
        <w:fldChar w:fldCharType="begin"/>
      </w:r>
      <w:r>
        <w:rPr>
          <w:noProof/>
        </w:rPr>
        <w:instrText xml:space="preserve"> PAGEREF _Toc77862704 \h </w:instrText>
      </w:r>
      <w:r>
        <w:rPr>
          <w:noProof/>
        </w:rPr>
        <w:fldChar w:fldCharType="separate"/>
      </w:r>
      <w:r w:rsidR="00F37E1B">
        <w:rPr>
          <w:rFonts w:hint="default"/>
          <w:noProof/>
        </w:rPr>
        <w:t>43</w:t>
      </w:r>
      <w:r>
        <w:rPr>
          <w:noProof/>
        </w:rPr>
        <w:fldChar w:fldCharType="end"/>
      </w:r>
    </w:p>
    <w:p w:rsidR="00B42CBE">
      <w:pPr>
        <w:pStyle w:val="TOC2"/>
        <w:tabs>
          <w:tab w:val="left" w:pos="840"/>
          <w:tab w:val="right" w:leader="dot" w:pos="8296"/>
        </w:tabs>
        <w:rPr>
          <w:rFonts w:asciiTheme="minorHAnsi" w:eastAsiaTheme="minorEastAsia" w:hAnsiTheme="minorHAnsi" w:cstheme="minorBidi" w:hint="default"/>
          <w:smallCaps w:val="0"/>
          <w:noProof/>
          <w:sz w:val="21"/>
          <w:szCs w:val="22"/>
        </w:rPr>
      </w:pPr>
      <w:r w:rsidRPr="00284668">
        <w:rPr>
          <w:rFonts w:ascii="Times New Roman Regular" w:hAnsi="Times New Roman Regular" w:cs="Times New Roman Regular"/>
          <w:noProof/>
        </w:rPr>
        <w:t>6.1</w:t>
      </w:r>
      <w:r>
        <w:rPr>
          <w:rFonts w:asciiTheme="minorHAnsi" w:eastAsiaTheme="minorEastAsia" w:hAnsiTheme="minorHAnsi" w:cstheme="minorBidi" w:hint="default"/>
          <w:smallCaps w:val="0"/>
          <w:noProof/>
          <w:sz w:val="21"/>
          <w:szCs w:val="22"/>
        </w:rPr>
        <w:tab/>
      </w:r>
      <w:r w:rsidRPr="00284668">
        <w:rPr>
          <w:rFonts w:ascii="Times New Roman Regular" w:hAnsi="Times New Roman Regular" w:cs="Times New Roman Regular"/>
          <w:noProof/>
        </w:rPr>
        <w:t>深入实施长江大保护</w:t>
      </w:r>
      <w:r w:rsidRPr="00284668">
        <w:rPr>
          <w:rFonts w:ascii="Times New Roman Regular" w:hAnsi="Times New Roman Regular" w:cs="Times New Roman Regular"/>
          <w:noProof/>
        </w:rPr>
        <w:t xml:space="preserve"> </w:t>
      </w:r>
      <w:r w:rsidRPr="00284668">
        <w:rPr>
          <w:rFonts w:ascii="Times New Roman Regular" w:hAnsi="Times New Roman Regular" w:cs="Times New Roman Regular"/>
          <w:noProof/>
        </w:rPr>
        <w:t>推进美丽长江岸线建设</w:t>
      </w:r>
      <w:r>
        <w:rPr>
          <w:noProof/>
        </w:rPr>
        <w:tab/>
      </w:r>
      <w:r>
        <w:rPr>
          <w:noProof/>
        </w:rPr>
        <w:fldChar w:fldCharType="begin"/>
      </w:r>
      <w:r>
        <w:rPr>
          <w:noProof/>
        </w:rPr>
        <w:instrText xml:space="preserve"> PAGEREF _Toc77862705 \h </w:instrText>
      </w:r>
      <w:r>
        <w:rPr>
          <w:noProof/>
        </w:rPr>
        <w:fldChar w:fldCharType="separate"/>
      </w:r>
      <w:r w:rsidR="00F37E1B">
        <w:rPr>
          <w:rFonts w:hint="default"/>
          <w:noProof/>
        </w:rPr>
        <w:t>44</w:t>
      </w:r>
      <w:r>
        <w:rPr>
          <w:noProof/>
        </w:rPr>
        <w:fldChar w:fldCharType="end"/>
      </w:r>
    </w:p>
    <w:p w:rsidR="00B42CBE">
      <w:pPr>
        <w:pStyle w:val="TOC2"/>
        <w:tabs>
          <w:tab w:val="left" w:pos="840"/>
          <w:tab w:val="right" w:leader="dot" w:pos="8296"/>
        </w:tabs>
        <w:rPr>
          <w:rFonts w:asciiTheme="minorHAnsi" w:eastAsiaTheme="minorEastAsia" w:hAnsiTheme="minorHAnsi" w:cstheme="minorBidi" w:hint="default"/>
          <w:smallCaps w:val="0"/>
          <w:noProof/>
          <w:sz w:val="21"/>
          <w:szCs w:val="22"/>
        </w:rPr>
      </w:pPr>
      <w:r w:rsidRPr="00284668">
        <w:rPr>
          <w:rFonts w:ascii="Times New Roman Regular" w:hAnsi="Times New Roman Regular" w:cs="Times New Roman Regular"/>
          <w:noProof/>
        </w:rPr>
        <w:t>6.2</w:t>
      </w:r>
      <w:r>
        <w:rPr>
          <w:rFonts w:asciiTheme="minorHAnsi" w:eastAsiaTheme="minorEastAsia" w:hAnsiTheme="minorHAnsi" w:cstheme="minorBidi" w:hint="default"/>
          <w:smallCaps w:val="0"/>
          <w:noProof/>
          <w:sz w:val="21"/>
          <w:szCs w:val="22"/>
        </w:rPr>
        <w:tab/>
      </w:r>
      <w:r w:rsidRPr="00284668">
        <w:rPr>
          <w:rFonts w:ascii="Times New Roman Regular" w:hAnsi="Times New Roman Regular" w:cs="Times New Roman Regular"/>
          <w:noProof/>
        </w:rPr>
        <w:t>全面推进碳达峰行动</w:t>
      </w:r>
      <w:r w:rsidRPr="00284668">
        <w:rPr>
          <w:rFonts w:ascii="Times New Roman Regular" w:hAnsi="Times New Roman Regular" w:cs="Times New Roman Regular"/>
          <w:noProof/>
        </w:rPr>
        <w:t xml:space="preserve"> </w:t>
      </w:r>
      <w:r w:rsidRPr="00284668">
        <w:rPr>
          <w:rFonts w:ascii="Times New Roman Regular" w:hAnsi="Times New Roman Regular" w:cs="Times New Roman Regular"/>
          <w:noProof/>
        </w:rPr>
        <w:t>推动绿色低碳循环发展</w:t>
      </w:r>
      <w:r>
        <w:rPr>
          <w:noProof/>
        </w:rPr>
        <w:tab/>
      </w:r>
      <w:r>
        <w:rPr>
          <w:noProof/>
        </w:rPr>
        <w:fldChar w:fldCharType="begin"/>
      </w:r>
      <w:r>
        <w:rPr>
          <w:noProof/>
        </w:rPr>
        <w:instrText xml:space="preserve"> PAGEREF _Toc77862706 \h </w:instrText>
      </w:r>
      <w:r>
        <w:rPr>
          <w:noProof/>
        </w:rPr>
        <w:fldChar w:fldCharType="separate"/>
      </w:r>
      <w:r w:rsidR="00F37E1B">
        <w:rPr>
          <w:rFonts w:hint="default"/>
          <w:noProof/>
        </w:rPr>
        <w:t>45</w:t>
      </w:r>
      <w:r>
        <w:rPr>
          <w:noProof/>
        </w:rPr>
        <w:fldChar w:fldCharType="end"/>
      </w:r>
    </w:p>
    <w:p w:rsidR="00B42CBE">
      <w:pPr>
        <w:pStyle w:val="TOC2"/>
        <w:tabs>
          <w:tab w:val="left" w:pos="840"/>
          <w:tab w:val="right" w:leader="dot" w:pos="8296"/>
        </w:tabs>
        <w:rPr>
          <w:rFonts w:asciiTheme="minorHAnsi" w:eastAsiaTheme="minorEastAsia" w:hAnsiTheme="minorHAnsi" w:cstheme="minorBidi" w:hint="default"/>
          <w:smallCaps w:val="0"/>
          <w:noProof/>
          <w:sz w:val="21"/>
          <w:szCs w:val="22"/>
        </w:rPr>
      </w:pPr>
      <w:r w:rsidRPr="00284668">
        <w:rPr>
          <w:rFonts w:ascii="Times New Roman Regular" w:hAnsi="Times New Roman Regular" w:cs="Times New Roman Regular"/>
          <w:noProof/>
        </w:rPr>
        <w:t>6.3</w:t>
      </w:r>
      <w:r>
        <w:rPr>
          <w:rFonts w:asciiTheme="minorHAnsi" w:eastAsiaTheme="minorEastAsia" w:hAnsiTheme="minorHAnsi" w:cstheme="minorBidi" w:hint="default"/>
          <w:smallCaps w:val="0"/>
          <w:noProof/>
          <w:sz w:val="21"/>
          <w:szCs w:val="22"/>
        </w:rPr>
        <w:tab/>
      </w:r>
      <w:r w:rsidRPr="00284668">
        <w:rPr>
          <w:rFonts w:ascii="Times New Roman Regular" w:hAnsi="Times New Roman Regular" w:cs="Times New Roman Regular"/>
          <w:noProof/>
        </w:rPr>
        <w:t>强化</w:t>
      </w:r>
      <w:r>
        <w:rPr>
          <w:noProof/>
        </w:rPr>
        <w:t>PM</w:t>
      </w:r>
      <w:r w:rsidRPr="00284668">
        <w:rPr>
          <w:noProof/>
          <w:vertAlign w:val="subscript"/>
        </w:rPr>
        <w:t>2.5</w:t>
      </w:r>
      <w:r w:rsidRPr="00284668">
        <w:rPr>
          <w:rFonts w:ascii="Times New Roman Regular" w:hAnsi="Times New Roman Regular" w:cs="Times New Roman Regular"/>
          <w:noProof/>
        </w:rPr>
        <w:t>和</w:t>
      </w:r>
      <w:r>
        <w:rPr>
          <w:noProof/>
        </w:rPr>
        <w:t>O</w:t>
      </w:r>
      <w:r w:rsidRPr="00284668">
        <w:rPr>
          <w:noProof/>
          <w:vertAlign w:val="subscript"/>
        </w:rPr>
        <w:t>3</w:t>
      </w:r>
      <w:r w:rsidRPr="00284668">
        <w:rPr>
          <w:rFonts w:ascii="Times New Roman Regular" w:hAnsi="Times New Roman Regular" w:cs="Times New Roman Regular"/>
          <w:noProof/>
        </w:rPr>
        <w:t>协同治理</w:t>
      </w:r>
      <w:r w:rsidRPr="00284668">
        <w:rPr>
          <w:rFonts w:ascii="Times New Roman Regular" w:hAnsi="Times New Roman Regular" w:cs="Times New Roman Regular"/>
          <w:noProof/>
        </w:rPr>
        <w:t xml:space="preserve"> </w:t>
      </w:r>
      <w:r w:rsidRPr="00284668">
        <w:rPr>
          <w:rFonts w:ascii="Times New Roman Regular" w:hAnsi="Times New Roman Regular" w:cs="Times New Roman Regular"/>
          <w:noProof/>
        </w:rPr>
        <w:t>持续提升空气质量</w:t>
      </w:r>
      <w:r>
        <w:rPr>
          <w:noProof/>
        </w:rPr>
        <w:tab/>
      </w:r>
      <w:r>
        <w:rPr>
          <w:noProof/>
        </w:rPr>
        <w:fldChar w:fldCharType="begin"/>
      </w:r>
      <w:r>
        <w:rPr>
          <w:noProof/>
        </w:rPr>
        <w:instrText xml:space="preserve"> PAGEREF _Toc77862707 \h </w:instrText>
      </w:r>
      <w:r>
        <w:rPr>
          <w:noProof/>
        </w:rPr>
        <w:fldChar w:fldCharType="separate"/>
      </w:r>
      <w:r w:rsidR="00F37E1B">
        <w:rPr>
          <w:rFonts w:hint="default"/>
          <w:noProof/>
        </w:rPr>
        <w:t>50</w:t>
      </w:r>
      <w:r>
        <w:rPr>
          <w:noProof/>
        </w:rPr>
        <w:fldChar w:fldCharType="end"/>
      </w:r>
    </w:p>
    <w:p w:rsidR="00B42CBE">
      <w:pPr>
        <w:pStyle w:val="TOC2"/>
        <w:tabs>
          <w:tab w:val="left" w:pos="840"/>
          <w:tab w:val="right" w:leader="dot" w:pos="8296"/>
        </w:tabs>
        <w:rPr>
          <w:rFonts w:asciiTheme="minorHAnsi" w:eastAsiaTheme="minorEastAsia" w:hAnsiTheme="minorHAnsi" w:cstheme="minorBidi" w:hint="default"/>
          <w:smallCaps w:val="0"/>
          <w:noProof/>
          <w:sz w:val="21"/>
          <w:szCs w:val="22"/>
        </w:rPr>
      </w:pPr>
      <w:r w:rsidRPr="00284668">
        <w:rPr>
          <w:rFonts w:ascii="Times New Roman Regular" w:hAnsi="Times New Roman Regular" w:cs="Times New Roman Regular"/>
          <w:noProof/>
        </w:rPr>
        <w:t>6.4</w:t>
      </w:r>
      <w:r>
        <w:rPr>
          <w:rFonts w:asciiTheme="minorHAnsi" w:eastAsiaTheme="minorEastAsia" w:hAnsiTheme="minorHAnsi" w:cstheme="minorBidi" w:hint="default"/>
          <w:smallCaps w:val="0"/>
          <w:noProof/>
          <w:sz w:val="21"/>
          <w:szCs w:val="22"/>
        </w:rPr>
        <w:tab/>
      </w:r>
      <w:r w:rsidRPr="00284668">
        <w:rPr>
          <w:rFonts w:ascii="Times New Roman Regular" w:hAnsi="Times New Roman Regular" w:cs="Times New Roman Regular"/>
          <w:noProof/>
        </w:rPr>
        <w:t>坚持三水统筹</w:t>
      </w:r>
      <w:r w:rsidRPr="00284668">
        <w:rPr>
          <w:rFonts w:ascii="Times New Roman Regular" w:hAnsi="Times New Roman Regular" w:cs="Times New Roman Regular"/>
          <w:noProof/>
        </w:rPr>
        <w:t xml:space="preserve">  </w:t>
      </w:r>
      <w:r w:rsidRPr="00284668">
        <w:rPr>
          <w:rFonts w:ascii="Times New Roman Regular" w:hAnsi="Times New Roman Regular" w:cs="Times New Roman Regular"/>
          <w:noProof/>
        </w:rPr>
        <w:t>提升水生态环境质量</w:t>
      </w:r>
      <w:r>
        <w:rPr>
          <w:noProof/>
        </w:rPr>
        <w:tab/>
      </w:r>
      <w:r>
        <w:rPr>
          <w:noProof/>
        </w:rPr>
        <w:fldChar w:fldCharType="begin"/>
      </w:r>
      <w:r>
        <w:rPr>
          <w:noProof/>
        </w:rPr>
        <w:instrText xml:space="preserve"> PAGEREF _Toc77862708 \h </w:instrText>
      </w:r>
      <w:r>
        <w:rPr>
          <w:noProof/>
        </w:rPr>
        <w:fldChar w:fldCharType="separate"/>
      </w:r>
      <w:r w:rsidR="00F37E1B">
        <w:rPr>
          <w:rFonts w:hint="default"/>
          <w:noProof/>
        </w:rPr>
        <w:t>54</w:t>
      </w:r>
      <w:r>
        <w:rPr>
          <w:noProof/>
        </w:rPr>
        <w:fldChar w:fldCharType="end"/>
      </w:r>
    </w:p>
    <w:p w:rsidR="00B42CBE">
      <w:pPr>
        <w:pStyle w:val="TOC2"/>
        <w:tabs>
          <w:tab w:val="left" w:pos="840"/>
          <w:tab w:val="right" w:leader="dot" w:pos="8296"/>
        </w:tabs>
        <w:rPr>
          <w:rFonts w:asciiTheme="minorHAnsi" w:eastAsiaTheme="minorEastAsia" w:hAnsiTheme="minorHAnsi" w:cstheme="minorBidi" w:hint="default"/>
          <w:smallCaps w:val="0"/>
          <w:noProof/>
          <w:sz w:val="21"/>
          <w:szCs w:val="22"/>
        </w:rPr>
      </w:pPr>
      <w:r w:rsidRPr="00284668">
        <w:rPr>
          <w:rFonts w:ascii="Times New Roman Regular" w:hAnsi="Times New Roman Regular" w:cs="Times New Roman Regular"/>
          <w:noProof/>
        </w:rPr>
        <w:t>6.5</w:t>
      </w:r>
      <w:r>
        <w:rPr>
          <w:rFonts w:asciiTheme="minorHAnsi" w:eastAsiaTheme="minorEastAsia" w:hAnsiTheme="minorHAnsi" w:cstheme="minorBidi" w:hint="default"/>
          <w:smallCaps w:val="0"/>
          <w:noProof/>
          <w:sz w:val="21"/>
          <w:szCs w:val="22"/>
        </w:rPr>
        <w:tab/>
      </w:r>
      <w:r w:rsidRPr="00284668">
        <w:rPr>
          <w:rFonts w:ascii="Times New Roman Regular" w:hAnsi="Times New Roman Regular" w:cs="Times New Roman Regular"/>
          <w:noProof/>
        </w:rPr>
        <w:t>加强土壤污染管控修复</w:t>
      </w:r>
      <w:r w:rsidRPr="00284668">
        <w:rPr>
          <w:rFonts w:ascii="Times New Roman Regular" w:hAnsi="Times New Roman Regular" w:cs="Times New Roman Regular"/>
          <w:noProof/>
        </w:rPr>
        <w:t xml:space="preserve">  </w:t>
      </w:r>
      <w:r w:rsidRPr="00284668">
        <w:rPr>
          <w:rFonts w:ascii="Times New Roman Regular" w:hAnsi="Times New Roman Regular" w:cs="Times New Roman Regular"/>
          <w:noProof/>
        </w:rPr>
        <w:t>保护土壤环境质量</w:t>
      </w:r>
      <w:r>
        <w:rPr>
          <w:noProof/>
        </w:rPr>
        <w:tab/>
      </w:r>
      <w:r>
        <w:rPr>
          <w:noProof/>
        </w:rPr>
        <w:fldChar w:fldCharType="begin"/>
      </w:r>
      <w:r>
        <w:rPr>
          <w:noProof/>
        </w:rPr>
        <w:instrText xml:space="preserve"> PAGEREF _Toc77862709 \h </w:instrText>
      </w:r>
      <w:r>
        <w:rPr>
          <w:noProof/>
        </w:rPr>
        <w:fldChar w:fldCharType="separate"/>
      </w:r>
      <w:r w:rsidR="00F37E1B">
        <w:rPr>
          <w:rFonts w:hint="default"/>
          <w:noProof/>
        </w:rPr>
        <w:t>57</w:t>
      </w:r>
      <w:r>
        <w:rPr>
          <w:noProof/>
        </w:rPr>
        <w:fldChar w:fldCharType="end"/>
      </w:r>
    </w:p>
    <w:p w:rsidR="00B42CBE">
      <w:pPr>
        <w:pStyle w:val="TOC2"/>
        <w:tabs>
          <w:tab w:val="left" w:pos="840"/>
          <w:tab w:val="right" w:leader="dot" w:pos="8296"/>
        </w:tabs>
        <w:rPr>
          <w:rFonts w:asciiTheme="minorHAnsi" w:eastAsiaTheme="minorEastAsia" w:hAnsiTheme="minorHAnsi" w:cstheme="minorBidi" w:hint="default"/>
          <w:smallCaps w:val="0"/>
          <w:noProof/>
          <w:sz w:val="21"/>
          <w:szCs w:val="22"/>
        </w:rPr>
      </w:pPr>
      <w:r w:rsidRPr="00284668">
        <w:rPr>
          <w:rFonts w:ascii="Times New Roman Regular" w:hAnsi="Times New Roman Regular" w:cs="Times New Roman Regular"/>
          <w:noProof/>
        </w:rPr>
        <w:t>6.6</w:t>
      </w:r>
      <w:r>
        <w:rPr>
          <w:rFonts w:asciiTheme="minorHAnsi" w:eastAsiaTheme="minorEastAsia" w:hAnsiTheme="minorHAnsi" w:cstheme="minorBidi" w:hint="default"/>
          <w:smallCaps w:val="0"/>
          <w:noProof/>
          <w:sz w:val="21"/>
          <w:szCs w:val="22"/>
        </w:rPr>
        <w:tab/>
      </w:r>
      <w:r w:rsidRPr="00284668">
        <w:rPr>
          <w:rFonts w:ascii="Times New Roman Regular" w:hAnsi="Times New Roman Regular" w:cs="Times New Roman Regular"/>
          <w:noProof/>
        </w:rPr>
        <w:t>深化农业农村污染防治</w:t>
      </w:r>
      <w:r w:rsidRPr="00284668">
        <w:rPr>
          <w:rFonts w:ascii="Times New Roman Regular" w:hAnsi="Times New Roman Regular" w:cs="Times New Roman Regular"/>
          <w:noProof/>
        </w:rPr>
        <w:t xml:space="preserve"> </w:t>
      </w:r>
      <w:r w:rsidRPr="00284668">
        <w:rPr>
          <w:rFonts w:ascii="Times New Roman Regular" w:hAnsi="Times New Roman Regular" w:cs="Times New Roman Regular"/>
          <w:noProof/>
        </w:rPr>
        <w:t>改善农村人居环境</w:t>
      </w:r>
      <w:r>
        <w:rPr>
          <w:noProof/>
        </w:rPr>
        <w:tab/>
      </w:r>
      <w:r>
        <w:rPr>
          <w:noProof/>
        </w:rPr>
        <w:fldChar w:fldCharType="begin"/>
      </w:r>
      <w:r>
        <w:rPr>
          <w:noProof/>
        </w:rPr>
        <w:instrText xml:space="preserve"> PAGEREF _Toc77862710 \h </w:instrText>
      </w:r>
      <w:r>
        <w:rPr>
          <w:noProof/>
        </w:rPr>
        <w:fldChar w:fldCharType="separate"/>
      </w:r>
      <w:r w:rsidR="00F37E1B">
        <w:rPr>
          <w:rFonts w:hint="default"/>
          <w:noProof/>
        </w:rPr>
        <w:t>60</w:t>
      </w:r>
      <w:r>
        <w:rPr>
          <w:noProof/>
        </w:rPr>
        <w:fldChar w:fldCharType="end"/>
      </w:r>
    </w:p>
    <w:p w:rsidR="00B42CBE">
      <w:pPr>
        <w:pStyle w:val="TOC2"/>
        <w:tabs>
          <w:tab w:val="left" w:pos="840"/>
          <w:tab w:val="right" w:leader="dot" w:pos="8296"/>
        </w:tabs>
        <w:rPr>
          <w:rFonts w:asciiTheme="minorHAnsi" w:eastAsiaTheme="minorEastAsia" w:hAnsiTheme="minorHAnsi" w:cstheme="minorBidi" w:hint="default"/>
          <w:smallCaps w:val="0"/>
          <w:noProof/>
          <w:sz w:val="21"/>
          <w:szCs w:val="22"/>
        </w:rPr>
      </w:pPr>
      <w:r w:rsidRPr="00284668">
        <w:rPr>
          <w:rFonts w:ascii="Times New Roman Regular" w:hAnsi="Times New Roman Regular" w:cs="Times New Roman Regular"/>
          <w:noProof/>
        </w:rPr>
        <w:t>6.7</w:t>
      </w:r>
      <w:r>
        <w:rPr>
          <w:rFonts w:asciiTheme="minorHAnsi" w:eastAsiaTheme="minorEastAsia" w:hAnsiTheme="minorHAnsi" w:cstheme="minorBidi" w:hint="default"/>
          <w:smallCaps w:val="0"/>
          <w:noProof/>
          <w:sz w:val="21"/>
          <w:szCs w:val="22"/>
        </w:rPr>
        <w:tab/>
      </w:r>
      <w:r w:rsidRPr="00284668">
        <w:rPr>
          <w:rFonts w:ascii="Times New Roman Regular" w:hAnsi="Times New Roman Regular" w:cs="Times New Roman Regular"/>
          <w:noProof/>
        </w:rPr>
        <w:t>强化自然生态系统保护</w:t>
      </w:r>
      <w:r w:rsidRPr="00284668">
        <w:rPr>
          <w:rFonts w:ascii="Times New Roman Regular" w:hAnsi="Times New Roman Regular" w:cs="Times New Roman Regular"/>
          <w:noProof/>
        </w:rPr>
        <w:t xml:space="preserve">  </w:t>
      </w:r>
      <w:r w:rsidRPr="00284668">
        <w:rPr>
          <w:rFonts w:ascii="Times New Roman Regular" w:hAnsi="Times New Roman Regular" w:cs="Times New Roman Regular"/>
          <w:noProof/>
        </w:rPr>
        <w:t>提升生态服务功能</w:t>
      </w:r>
      <w:r>
        <w:rPr>
          <w:noProof/>
        </w:rPr>
        <w:tab/>
      </w:r>
      <w:r>
        <w:rPr>
          <w:noProof/>
        </w:rPr>
        <w:fldChar w:fldCharType="begin"/>
      </w:r>
      <w:r>
        <w:rPr>
          <w:noProof/>
        </w:rPr>
        <w:instrText xml:space="preserve"> PAGEREF _Toc77862711 \h </w:instrText>
      </w:r>
      <w:r>
        <w:rPr>
          <w:noProof/>
        </w:rPr>
        <w:fldChar w:fldCharType="separate"/>
      </w:r>
      <w:r w:rsidR="00F37E1B">
        <w:rPr>
          <w:rFonts w:hint="default"/>
          <w:noProof/>
        </w:rPr>
        <w:t>62</w:t>
      </w:r>
      <w:r>
        <w:rPr>
          <w:noProof/>
        </w:rPr>
        <w:fldChar w:fldCharType="end"/>
      </w:r>
    </w:p>
    <w:p w:rsidR="00B42CBE">
      <w:pPr>
        <w:pStyle w:val="TOC2"/>
        <w:tabs>
          <w:tab w:val="left" w:pos="840"/>
          <w:tab w:val="right" w:leader="dot" w:pos="8296"/>
        </w:tabs>
        <w:rPr>
          <w:rFonts w:asciiTheme="minorHAnsi" w:eastAsiaTheme="minorEastAsia" w:hAnsiTheme="minorHAnsi" w:cstheme="minorBidi" w:hint="default"/>
          <w:smallCaps w:val="0"/>
          <w:noProof/>
          <w:sz w:val="21"/>
          <w:szCs w:val="22"/>
        </w:rPr>
      </w:pPr>
      <w:r w:rsidRPr="00284668">
        <w:rPr>
          <w:rFonts w:ascii="Times New Roman Regular" w:hAnsi="Times New Roman Regular" w:cs="Times New Roman Regular"/>
          <w:noProof/>
        </w:rPr>
        <w:t>6.8</w:t>
      </w:r>
      <w:r>
        <w:rPr>
          <w:rFonts w:asciiTheme="minorHAnsi" w:eastAsiaTheme="minorEastAsia" w:hAnsiTheme="minorHAnsi" w:cstheme="minorBidi" w:hint="default"/>
          <w:smallCaps w:val="0"/>
          <w:noProof/>
          <w:sz w:val="21"/>
          <w:szCs w:val="22"/>
        </w:rPr>
        <w:tab/>
      </w:r>
      <w:r w:rsidRPr="00284668">
        <w:rPr>
          <w:rFonts w:ascii="Times New Roman Regular" w:hAnsi="Times New Roman Regular" w:cs="Times New Roman Regular"/>
          <w:noProof/>
        </w:rPr>
        <w:t>加强区域环境风险管控</w:t>
      </w:r>
      <w:r w:rsidRPr="00284668">
        <w:rPr>
          <w:rFonts w:ascii="Times New Roman Regular" w:hAnsi="Times New Roman Regular" w:cs="Times New Roman Regular"/>
          <w:noProof/>
        </w:rPr>
        <w:t xml:space="preserve">  </w:t>
      </w:r>
      <w:r w:rsidRPr="00284668">
        <w:rPr>
          <w:rFonts w:ascii="Times New Roman Regular" w:hAnsi="Times New Roman Regular" w:cs="Times New Roman Regular"/>
          <w:noProof/>
        </w:rPr>
        <w:t>保障环境健康安全</w:t>
      </w:r>
      <w:r>
        <w:rPr>
          <w:noProof/>
        </w:rPr>
        <w:tab/>
      </w:r>
      <w:r>
        <w:rPr>
          <w:noProof/>
        </w:rPr>
        <w:fldChar w:fldCharType="begin"/>
      </w:r>
      <w:r>
        <w:rPr>
          <w:noProof/>
        </w:rPr>
        <w:instrText xml:space="preserve"> PAGEREF _Toc77862712 \h </w:instrText>
      </w:r>
      <w:r>
        <w:rPr>
          <w:noProof/>
        </w:rPr>
        <w:fldChar w:fldCharType="separate"/>
      </w:r>
      <w:r w:rsidR="00F37E1B">
        <w:rPr>
          <w:rFonts w:hint="default"/>
          <w:noProof/>
        </w:rPr>
        <w:t>65</w:t>
      </w:r>
      <w:r>
        <w:rPr>
          <w:noProof/>
        </w:rPr>
        <w:fldChar w:fldCharType="end"/>
      </w:r>
    </w:p>
    <w:p w:rsidR="00B42CBE">
      <w:pPr>
        <w:pStyle w:val="TOC2"/>
        <w:tabs>
          <w:tab w:val="left" w:pos="840"/>
          <w:tab w:val="right" w:leader="dot" w:pos="8296"/>
        </w:tabs>
        <w:rPr>
          <w:rFonts w:asciiTheme="minorHAnsi" w:eastAsiaTheme="minorEastAsia" w:hAnsiTheme="minorHAnsi" w:cstheme="minorBidi" w:hint="default"/>
          <w:smallCaps w:val="0"/>
          <w:noProof/>
          <w:sz w:val="21"/>
          <w:szCs w:val="22"/>
        </w:rPr>
      </w:pPr>
      <w:r w:rsidRPr="00284668">
        <w:rPr>
          <w:rFonts w:ascii="Times New Roman Regular" w:hAnsi="Times New Roman Regular" w:cs="Times New Roman Regular"/>
          <w:noProof/>
        </w:rPr>
        <w:t>6.9</w:t>
      </w:r>
      <w:r>
        <w:rPr>
          <w:rFonts w:asciiTheme="minorHAnsi" w:eastAsiaTheme="minorEastAsia" w:hAnsiTheme="minorHAnsi" w:cstheme="minorBidi" w:hint="default"/>
          <w:smallCaps w:val="0"/>
          <w:noProof/>
          <w:sz w:val="21"/>
          <w:szCs w:val="22"/>
        </w:rPr>
        <w:tab/>
      </w:r>
      <w:r w:rsidRPr="00284668">
        <w:rPr>
          <w:rFonts w:ascii="Times New Roman Regular" w:hAnsi="Times New Roman Regular" w:cs="Times New Roman Regular"/>
          <w:noProof/>
        </w:rPr>
        <w:t>实筑牢环境保护基础</w:t>
      </w:r>
      <w:r w:rsidRPr="00284668">
        <w:rPr>
          <w:rFonts w:ascii="Times New Roman Regular" w:hAnsi="Times New Roman Regular" w:cs="Times New Roman Regular"/>
          <w:noProof/>
        </w:rPr>
        <w:t xml:space="preserve">  </w:t>
      </w:r>
      <w:r w:rsidRPr="00284668">
        <w:rPr>
          <w:rFonts w:ascii="Times New Roman Regular" w:hAnsi="Times New Roman Regular" w:cs="Times New Roman Regular"/>
          <w:noProof/>
        </w:rPr>
        <w:t>提升生态环境治理能力</w:t>
      </w:r>
      <w:r>
        <w:rPr>
          <w:noProof/>
        </w:rPr>
        <w:tab/>
      </w:r>
      <w:r>
        <w:rPr>
          <w:noProof/>
        </w:rPr>
        <w:fldChar w:fldCharType="begin"/>
      </w:r>
      <w:r>
        <w:rPr>
          <w:noProof/>
        </w:rPr>
        <w:instrText xml:space="preserve"> PAGEREF _Toc77862713 \h </w:instrText>
      </w:r>
      <w:r>
        <w:rPr>
          <w:noProof/>
        </w:rPr>
        <w:fldChar w:fldCharType="separate"/>
      </w:r>
      <w:r w:rsidR="00F37E1B">
        <w:rPr>
          <w:rFonts w:hint="default"/>
          <w:noProof/>
        </w:rPr>
        <w:t>69</w:t>
      </w:r>
      <w:r>
        <w:rPr>
          <w:noProof/>
        </w:rPr>
        <w:fldChar w:fldCharType="end"/>
      </w:r>
    </w:p>
    <w:p w:rsidR="00B42CBE">
      <w:pPr>
        <w:pStyle w:val="TOC2"/>
        <w:tabs>
          <w:tab w:val="right" w:leader="dot" w:pos="8296"/>
        </w:tabs>
        <w:rPr>
          <w:rFonts w:asciiTheme="minorHAnsi" w:eastAsiaTheme="minorEastAsia" w:hAnsiTheme="minorHAnsi" w:cstheme="minorBidi" w:hint="default"/>
          <w:smallCaps w:val="0"/>
          <w:noProof/>
          <w:sz w:val="21"/>
          <w:szCs w:val="22"/>
        </w:rPr>
      </w:pPr>
      <w:r w:rsidRPr="00284668">
        <w:rPr>
          <w:rFonts w:ascii="Times New Roman Regular" w:hAnsi="Times New Roman Regular" w:cs="Times New Roman Regular"/>
          <w:noProof/>
        </w:rPr>
        <w:t xml:space="preserve">6.10 </w:t>
      </w:r>
      <w:r w:rsidRPr="00284668">
        <w:rPr>
          <w:rFonts w:ascii="Times New Roman Regular" w:hAnsi="Times New Roman Regular" w:cs="Times New Roman Regular"/>
          <w:noProof/>
        </w:rPr>
        <w:t>完善环保体制机制</w:t>
      </w:r>
      <w:r w:rsidRPr="00284668">
        <w:rPr>
          <w:rFonts w:ascii="Times New Roman Regular" w:hAnsi="Times New Roman Regular" w:cs="Times New Roman Regular"/>
          <w:noProof/>
        </w:rPr>
        <w:t xml:space="preserve"> </w:t>
      </w:r>
      <w:r w:rsidRPr="00284668">
        <w:rPr>
          <w:rFonts w:ascii="Times New Roman Regular" w:hAnsi="Times New Roman Regular" w:cs="Times New Roman Regular"/>
          <w:noProof/>
        </w:rPr>
        <w:t>推动社会共治共享</w:t>
      </w:r>
      <w:r>
        <w:rPr>
          <w:noProof/>
        </w:rPr>
        <w:tab/>
      </w:r>
      <w:r>
        <w:rPr>
          <w:noProof/>
        </w:rPr>
        <w:fldChar w:fldCharType="begin"/>
      </w:r>
      <w:r>
        <w:rPr>
          <w:noProof/>
        </w:rPr>
        <w:instrText xml:space="preserve"> PAGEREF _Toc77862714 \h </w:instrText>
      </w:r>
      <w:r>
        <w:rPr>
          <w:noProof/>
        </w:rPr>
        <w:fldChar w:fldCharType="separate"/>
      </w:r>
      <w:r w:rsidR="00F37E1B">
        <w:rPr>
          <w:rFonts w:hint="default"/>
          <w:noProof/>
        </w:rPr>
        <w:t>72</w:t>
      </w:r>
      <w:r>
        <w:rPr>
          <w:noProof/>
        </w:rPr>
        <w:fldChar w:fldCharType="end"/>
      </w:r>
    </w:p>
    <w:p w:rsidR="00B42CBE">
      <w:pPr>
        <w:pStyle w:val="TOC1"/>
        <w:tabs>
          <w:tab w:val="left" w:pos="630"/>
          <w:tab w:val="right" w:leader="dot" w:pos="8296"/>
        </w:tabs>
        <w:rPr>
          <w:rFonts w:asciiTheme="minorHAnsi" w:eastAsiaTheme="minorEastAsia" w:hAnsiTheme="minorHAnsi" w:cstheme="minorBidi" w:hint="default"/>
          <w:b w:val="0"/>
          <w:caps w:val="0"/>
          <w:noProof/>
          <w:sz w:val="21"/>
          <w:szCs w:val="22"/>
        </w:rPr>
      </w:pPr>
      <w:r w:rsidRPr="00284668">
        <w:rPr>
          <w:rFonts w:ascii="Times New Roman Regular" w:hAnsi="Times New Roman Regular" w:cs="Times New Roman Regular"/>
          <w:noProof/>
        </w:rPr>
        <w:t>7</w:t>
      </w:r>
      <w:r>
        <w:rPr>
          <w:rFonts w:asciiTheme="minorHAnsi" w:eastAsiaTheme="minorEastAsia" w:hAnsiTheme="minorHAnsi" w:cstheme="minorBidi" w:hint="default"/>
          <w:b w:val="0"/>
          <w:caps w:val="0"/>
          <w:noProof/>
          <w:sz w:val="21"/>
          <w:szCs w:val="22"/>
        </w:rPr>
        <w:tab/>
      </w:r>
      <w:r w:rsidRPr="00284668">
        <w:rPr>
          <w:rFonts w:ascii="Times New Roman Regular" w:hAnsi="Times New Roman Regular" w:cs="Times New Roman Regular"/>
          <w:noProof/>
        </w:rPr>
        <w:t>重点工程</w:t>
      </w:r>
      <w:r>
        <w:rPr>
          <w:noProof/>
        </w:rPr>
        <w:tab/>
      </w:r>
      <w:r>
        <w:rPr>
          <w:noProof/>
        </w:rPr>
        <w:fldChar w:fldCharType="begin"/>
      </w:r>
      <w:r>
        <w:rPr>
          <w:noProof/>
        </w:rPr>
        <w:instrText xml:space="preserve"> PAGEREF _Toc77862715 \h </w:instrText>
      </w:r>
      <w:r>
        <w:rPr>
          <w:noProof/>
        </w:rPr>
        <w:fldChar w:fldCharType="separate"/>
      </w:r>
      <w:r w:rsidR="00F37E1B">
        <w:rPr>
          <w:rFonts w:hint="default"/>
          <w:noProof/>
        </w:rPr>
        <w:t>75</w:t>
      </w:r>
      <w:r>
        <w:rPr>
          <w:noProof/>
        </w:rPr>
        <w:fldChar w:fldCharType="end"/>
      </w:r>
    </w:p>
    <w:p w:rsidR="00B42CBE">
      <w:pPr>
        <w:pStyle w:val="TOC1"/>
        <w:tabs>
          <w:tab w:val="left" w:pos="630"/>
          <w:tab w:val="right" w:leader="dot" w:pos="8296"/>
        </w:tabs>
        <w:rPr>
          <w:rFonts w:asciiTheme="minorHAnsi" w:eastAsiaTheme="minorEastAsia" w:hAnsiTheme="minorHAnsi" w:cstheme="minorBidi" w:hint="default"/>
          <w:b w:val="0"/>
          <w:caps w:val="0"/>
          <w:noProof/>
          <w:sz w:val="21"/>
          <w:szCs w:val="22"/>
        </w:rPr>
      </w:pPr>
      <w:r w:rsidRPr="00284668">
        <w:rPr>
          <w:rFonts w:ascii="Times New Roman Regular" w:hAnsi="Times New Roman Regular" w:cs="Times New Roman Regular"/>
          <w:noProof/>
        </w:rPr>
        <w:t>8</w:t>
      </w:r>
      <w:r>
        <w:rPr>
          <w:rFonts w:asciiTheme="minorHAnsi" w:eastAsiaTheme="minorEastAsia" w:hAnsiTheme="minorHAnsi" w:cstheme="minorBidi" w:hint="default"/>
          <w:b w:val="0"/>
          <w:caps w:val="0"/>
          <w:noProof/>
          <w:sz w:val="21"/>
          <w:szCs w:val="22"/>
        </w:rPr>
        <w:tab/>
      </w:r>
      <w:r w:rsidRPr="00284668">
        <w:rPr>
          <w:rFonts w:ascii="Times New Roman Regular" w:hAnsi="Times New Roman Regular" w:cs="Times New Roman Regular"/>
          <w:noProof/>
        </w:rPr>
        <w:t>保障措施</w:t>
      </w:r>
      <w:r>
        <w:rPr>
          <w:noProof/>
        </w:rPr>
        <w:tab/>
      </w:r>
      <w:r>
        <w:rPr>
          <w:noProof/>
        </w:rPr>
        <w:fldChar w:fldCharType="begin"/>
      </w:r>
      <w:r>
        <w:rPr>
          <w:noProof/>
        </w:rPr>
        <w:instrText xml:space="preserve"> PAGEREF _Toc77862716 \h </w:instrText>
      </w:r>
      <w:r>
        <w:rPr>
          <w:noProof/>
        </w:rPr>
        <w:fldChar w:fldCharType="separate"/>
      </w:r>
      <w:r w:rsidR="00F37E1B">
        <w:rPr>
          <w:rFonts w:hint="default"/>
          <w:noProof/>
        </w:rPr>
        <w:t>77</w:t>
      </w:r>
      <w:r>
        <w:rPr>
          <w:noProof/>
        </w:rPr>
        <w:fldChar w:fldCharType="end"/>
      </w:r>
    </w:p>
    <w:p w:rsidR="00B42CBE">
      <w:pPr>
        <w:pStyle w:val="TOC2"/>
        <w:tabs>
          <w:tab w:val="left" w:pos="840"/>
          <w:tab w:val="right" w:leader="dot" w:pos="8296"/>
        </w:tabs>
        <w:rPr>
          <w:rFonts w:asciiTheme="minorHAnsi" w:eastAsiaTheme="minorEastAsia" w:hAnsiTheme="minorHAnsi" w:cstheme="minorBidi" w:hint="default"/>
          <w:smallCaps w:val="0"/>
          <w:noProof/>
          <w:sz w:val="21"/>
          <w:szCs w:val="22"/>
        </w:rPr>
      </w:pPr>
      <w:r w:rsidRPr="00284668">
        <w:rPr>
          <w:rFonts w:ascii="Times New Roman Regular" w:hAnsi="Times New Roman Regular" w:cs="Times New Roman Regular"/>
          <w:noProof/>
        </w:rPr>
        <w:t>8.1</w:t>
      </w:r>
      <w:r>
        <w:rPr>
          <w:rFonts w:asciiTheme="minorHAnsi" w:eastAsiaTheme="minorEastAsia" w:hAnsiTheme="minorHAnsi" w:cstheme="minorBidi" w:hint="default"/>
          <w:smallCaps w:val="0"/>
          <w:noProof/>
          <w:sz w:val="21"/>
          <w:szCs w:val="22"/>
        </w:rPr>
        <w:tab/>
      </w:r>
      <w:r w:rsidRPr="00284668">
        <w:rPr>
          <w:rFonts w:ascii="Times New Roman Regular" w:hAnsi="Times New Roman Regular" w:cs="Times New Roman Regular"/>
          <w:noProof/>
        </w:rPr>
        <w:t>加强组织领导</w:t>
      </w:r>
      <w:r>
        <w:rPr>
          <w:noProof/>
        </w:rPr>
        <w:tab/>
      </w:r>
      <w:r>
        <w:rPr>
          <w:noProof/>
        </w:rPr>
        <w:fldChar w:fldCharType="begin"/>
      </w:r>
      <w:r>
        <w:rPr>
          <w:noProof/>
        </w:rPr>
        <w:instrText xml:space="preserve"> PAGEREF _Toc77862717 \h </w:instrText>
      </w:r>
      <w:r>
        <w:rPr>
          <w:noProof/>
        </w:rPr>
        <w:fldChar w:fldCharType="separate"/>
      </w:r>
      <w:r w:rsidR="00F37E1B">
        <w:rPr>
          <w:rFonts w:hint="default"/>
          <w:noProof/>
        </w:rPr>
        <w:t>77</w:t>
      </w:r>
      <w:r>
        <w:rPr>
          <w:noProof/>
        </w:rPr>
        <w:fldChar w:fldCharType="end"/>
      </w:r>
    </w:p>
    <w:p w:rsidR="00B42CBE">
      <w:pPr>
        <w:pStyle w:val="TOC2"/>
        <w:tabs>
          <w:tab w:val="left" w:pos="840"/>
          <w:tab w:val="right" w:leader="dot" w:pos="8296"/>
        </w:tabs>
        <w:rPr>
          <w:rFonts w:asciiTheme="minorHAnsi" w:eastAsiaTheme="minorEastAsia" w:hAnsiTheme="minorHAnsi" w:cstheme="minorBidi" w:hint="default"/>
          <w:smallCaps w:val="0"/>
          <w:noProof/>
          <w:sz w:val="21"/>
          <w:szCs w:val="22"/>
        </w:rPr>
      </w:pPr>
      <w:r w:rsidRPr="00284668">
        <w:rPr>
          <w:rFonts w:ascii="Times New Roman Regular" w:hAnsi="Times New Roman Regular" w:cs="Times New Roman Regular"/>
          <w:noProof/>
        </w:rPr>
        <w:t>8.2</w:t>
      </w:r>
      <w:r>
        <w:rPr>
          <w:rFonts w:asciiTheme="minorHAnsi" w:eastAsiaTheme="minorEastAsia" w:hAnsiTheme="minorHAnsi" w:cstheme="minorBidi" w:hint="default"/>
          <w:smallCaps w:val="0"/>
          <w:noProof/>
          <w:sz w:val="21"/>
          <w:szCs w:val="22"/>
        </w:rPr>
        <w:tab/>
      </w:r>
      <w:r w:rsidRPr="00284668">
        <w:rPr>
          <w:rFonts w:ascii="Times New Roman Regular" w:hAnsi="Times New Roman Regular" w:cs="Times New Roman Regular"/>
          <w:noProof/>
        </w:rPr>
        <w:t>加大资金投入</w:t>
      </w:r>
      <w:r>
        <w:rPr>
          <w:noProof/>
        </w:rPr>
        <w:tab/>
      </w:r>
      <w:r>
        <w:rPr>
          <w:noProof/>
        </w:rPr>
        <w:fldChar w:fldCharType="begin"/>
      </w:r>
      <w:r>
        <w:rPr>
          <w:noProof/>
        </w:rPr>
        <w:instrText xml:space="preserve"> PAGEREF _Toc77862718 \h </w:instrText>
      </w:r>
      <w:r>
        <w:rPr>
          <w:noProof/>
        </w:rPr>
        <w:fldChar w:fldCharType="separate"/>
      </w:r>
      <w:r w:rsidR="00F37E1B">
        <w:rPr>
          <w:rFonts w:hint="default"/>
          <w:noProof/>
        </w:rPr>
        <w:t>77</w:t>
      </w:r>
      <w:r>
        <w:rPr>
          <w:noProof/>
        </w:rPr>
        <w:fldChar w:fldCharType="end"/>
      </w:r>
    </w:p>
    <w:p w:rsidR="00B42CBE">
      <w:pPr>
        <w:pStyle w:val="TOC2"/>
        <w:tabs>
          <w:tab w:val="left" w:pos="840"/>
          <w:tab w:val="right" w:leader="dot" w:pos="8296"/>
        </w:tabs>
        <w:rPr>
          <w:rFonts w:asciiTheme="minorHAnsi" w:eastAsiaTheme="minorEastAsia" w:hAnsiTheme="minorHAnsi" w:cstheme="minorBidi" w:hint="default"/>
          <w:smallCaps w:val="0"/>
          <w:noProof/>
          <w:sz w:val="21"/>
          <w:szCs w:val="22"/>
        </w:rPr>
      </w:pPr>
      <w:r w:rsidRPr="00284668">
        <w:rPr>
          <w:rFonts w:ascii="Times New Roman Regular" w:hAnsi="Times New Roman Regular" w:cs="Times New Roman Regular"/>
          <w:noProof/>
        </w:rPr>
        <w:t>8.3</w:t>
      </w:r>
      <w:r>
        <w:rPr>
          <w:rFonts w:asciiTheme="minorHAnsi" w:eastAsiaTheme="minorEastAsia" w:hAnsiTheme="minorHAnsi" w:cstheme="minorBidi" w:hint="default"/>
          <w:smallCaps w:val="0"/>
          <w:noProof/>
          <w:sz w:val="21"/>
          <w:szCs w:val="22"/>
        </w:rPr>
        <w:tab/>
      </w:r>
      <w:r w:rsidRPr="00284668">
        <w:rPr>
          <w:rFonts w:ascii="Times New Roman Regular" w:hAnsi="Times New Roman Regular" w:cs="Times New Roman Regular"/>
          <w:noProof/>
        </w:rPr>
        <w:t>严格目标考核</w:t>
      </w:r>
      <w:r>
        <w:rPr>
          <w:noProof/>
        </w:rPr>
        <w:tab/>
      </w:r>
      <w:r>
        <w:rPr>
          <w:noProof/>
        </w:rPr>
        <w:fldChar w:fldCharType="begin"/>
      </w:r>
      <w:r>
        <w:rPr>
          <w:noProof/>
        </w:rPr>
        <w:instrText xml:space="preserve"> PAGEREF _Toc77862719 \h </w:instrText>
      </w:r>
      <w:r>
        <w:rPr>
          <w:noProof/>
        </w:rPr>
        <w:fldChar w:fldCharType="separate"/>
      </w:r>
      <w:r w:rsidR="00F37E1B">
        <w:rPr>
          <w:rFonts w:hint="default"/>
          <w:noProof/>
        </w:rPr>
        <w:t>78</w:t>
      </w:r>
      <w:r>
        <w:rPr>
          <w:noProof/>
        </w:rPr>
        <w:fldChar w:fldCharType="end"/>
      </w:r>
    </w:p>
    <w:p w:rsidR="00B42CBE">
      <w:pPr>
        <w:pStyle w:val="TOC2"/>
        <w:tabs>
          <w:tab w:val="left" w:pos="840"/>
          <w:tab w:val="right" w:leader="dot" w:pos="8296"/>
        </w:tabs>
        <w:rPr>
          <w:rFonts w:asciiTheme="minorHAnsi" w:eastAsiaTheme="minorEastAsia" w:hAnsiTheme="minorHAnsi" w:cstheme="minorBidi" w:hint="default"/>
          <w:smallCaps w:val="0"/>
          <w:noProof/>
          <w:sz w:val="21"/>
          <w:szCs w:val="22"/>
        </w:rPr>
      </w:pPr>
      <w:r w:rsidRPr="00284668">
        <w:rPr>
          <w:rFonts w:ascii="Times New Roman Regular" w:hAnsi="Times New Roman Regular" w:cs="Times New Roman Regular"/>
          <w:noProof/>
        </w:rPr>
        <w:t>8.4</w:t>
      </w:r>
      <w:r>
        <w:rPr>
          <w:rFonts w:asciiTheme="minorHAnsi" w:eastAsiaTheme="minorEastAsia" w:hAnsiTheme="minorHAnsi" w:cstheme="minorBidi" w:hint="default"/>
          <w:smallCaps w:val="0"/>
          <w:noProof/>
          <w:sz w:val="21"/>
          <w:szCs w:val="22"/>
        </w:rPr>
        <w:tab/>
      </w:r>
      <w:r w:rsidRPr="00284668">
        <w:rPr>
          <w:rFonts w:ascii="Times New Roman Regular" w:hAnsi="Times New Roman Regular" w:cs="Times New Roman Regular"/>
          <w:noProof/>
        </w:rPr>
        <w:t>强化科技创新</w:t>
      </w:r>
      <w:r>
        <w:rPr>
          <w:noProof/>
        </w:rPr>
        <w:tab/>
      </w:r>
      <w:r>
        <w:rPr>
          <w:noProof/>
        </w:rPr>
        <w:fldChar w:fldCharType="begin"/>
      </w:r>
      <w:r>
        <w:rPr>
          <w:noProof/>
        </w:rPr>
        <w:instrText xml:space="preserve"> PAGEREF _Toc77862720 \h </w:instrText>
      </w:r>
      <w:r>
        <w:rPr>
          <w:noProof/>
        </w:rPr>
        <w:fldChar w:fldCharType="separate"/>
      </w:r>
      <w:r w:rsidR="00F37E1B">
        <w:rPr>
          <w:rFonts w:hint="default"/>
          <w:noProof/>
        </w:rPr>
        <w:t>78</w:t>
      </w:r>
      <w:r>
        <w:rPr>
          <w:noProof/>
        </w:rPr>
        <w:fldChar w:fldCharType="end"/>
      </w:r>
    </w:p>
    <w:p w:rsidR="00B42CBE">
      <w:pPr>
        <w:pStyle w:val="TOC1"/>
        <w:tabs>
          <w:tab w:val="right" w:leader="dot" w:pos="8296"/>
        </w:tabs>
        <w:rPr>
          <w:rFonts w:asciiTheme="minorHAnsi" w:eastAsiaTheme="minorEastAsia" w:hAnsiTheme="minorHAnsi" w:cstheme="minorBidi" w:hint="default"/>
          <w:b w:val="0"/>
          <w:caps w:val="0"/>
          <w:noProof/>
          <w:sz w:val="21"/>
          <w:szCs w:val="22"/>
        </w:rPr>
      </w:pPr>
      <w:r>
        <w:rPr>
          <w:noProof/>
        </w:rPr>
        <w:t>附表</w:t>
      </w:r>
      <w:r>
        <w:rPr>
          <w:noProof/>
        </w:rPr>
        <w:t>1</w:t>
      </w:r>
      <w:r>
        <w:rPr>
          <w:noProof/>
        </w:rPr>
        <w:tab/>
      </w:r>
      <w:r>
        <w:rPr>
          <w:noProof/>
        </w:rPr>
        <w:fldChar w:fldCharType="begin"/>
      </w:r>
      <w:r>
        <w:rPr>
          <w:noProof/>
        </w:rPr>
        <w:instrText xml:space="preserve"> PAGEREF _Toc77862721 \h </w:instrText>
      </w:r>
      <w:r>
        <w:rPr>
          <w:noProof/>
        </w:rPr>
        <w:fldChar w:fldCharType="separate"/>
      </w:r>
      <w:r w:rsidR="00F37E1B">
        <w:rPr>
          <w:rFonts w:hint="default"/>
          <w:noProof/>
        </w:rPr>
        <w:t>80</w:t>
      </w:r>
      <w:r>
        <w:rPr>
          <w:noProof/>
        </w:rPr>
        <w:fldChar w:fldCharType="end"/>
      </w:r>
    </w:p>
    <w:p w:rsidR="00B373FD" w:rsidP="00716193">
      <w:pPr>
        <w:pStyle w:val="TOC1"/>
        <w:tabs>
          <w:tab w:val="right" w:leader="dot" w:pos="8296"/>
        </w:tabs>
        <w:rPr>
          <w:rFonts w:eastAsia="黑体" w:hint="default"/>
          <w:sz w:val="44"/>
          <w:szCs w:val="44"/>
        </w:rPr>
      </w:pPr>
      <w:r>
        <w:rPr>
          <w:noProof/>
        </w:rPr>
        <w:t>附表</w:t>
      </w:r>
      <w:r>
        <w:rPr>
          <w:noProof/>
        </w:rPr>
        <w:t>2</w:t>
      </w:r>
      <w:r>
        <w:rPr>
          <w:noProof/>
        </w:rPr>
        <w:tab/>
      </w:r>
      <w:r>
        <w:rPr>
          <w:noProof/>
        </w:rPr>
        <w:fldChar w:fldCharType="begin"/>
      </w:r>
      <w:r>
        <w:rPr>
          <w:noProof/>
        </w:rPr>
        <w:instrText xml:space="preserve"> PAGEREF _Toc77862723 \h </w:instrText>
      </w:r>
      <w:r>
        <w:rPr>
          <w:noProof/>
        </w:rPr>
        <w:fldChar w:fldCharType="separate"/>
      </w:r>
      <w:r w:rsidR="00F37E1B">
        <w:rPr>
          <w:rFonts w:hint="default"/>
          <w:noProof/>
        </w:rPr>
        <w:t>85</w:t>
      </w:r>
      <w:r>
        <w:rPr>
          <w:noProof/>
        </w:rPr>
        <w:fldChar w:fldCharType="end"/>
      </w:r>
      <w:r w:rsidR="00C82635">
        <w:rPr>
          <w:szCs w:val="24"/>
        </w:rPr>
        <w:fldChar w:fldCharType="end"/>
      </w:r>
    </w:p>
    <w:p w:rsidR="00B373FD">
      <w:pPr>
        <w:rPr>
          <w:rFonts w:eastAsia="黑体"/>
          <w:sz w:val="44"/>
          <w:szCs w:val="44"/>
        </w:rPr>
        <w:sectPr>
          <w:headerReference w:type="even" r:id="rId14"/>
          <w:headerReference w:type="default" r:id="rId15"/>
          <w:footerReference w:type="default" r:id="rId16"/>
          <w:headerReference w:type="first" r:id="rId17"/>
          <w:pgSz w:w="11906" w:h="16838"/>
          <w:pgMar w:top="1440" w:right="1800" w:bottom="1440" w:left="1800" w:header="851" w:footer="992" w:gutter="0"/>
          <w:pgNumType w:fmt="upperRoman" w:start="1"/>
          <w:cols w:space="720"/>
          <w:docGrid w:type="lines" w:linePitch="312"/>
        </w:sectPr>
      </w:pPr>
    </w:p>
    <w:p w:rsidR="00B373FD">
      <w:pPr>
        <w:pStyle w:val="Heading1"/>
        <w:numPr>
          <w:ilvl w:val="0"/>
          <w:numId w:val="4"/>
        </w:numPr>
        <w:spacing w:before="156" w:after="156"/>
        <w:rPr>
          <w:rFonts w:ascii="Times New Roman Regular" w:hAnsi="Times New Roman Regular" w:cs="Times New Roman Regular"/>
        </w:rPr>
      </w:pPr>
      <w:bookmarkStart w:id="18" w:name="_Toc77862679"/>
      <w:r>
        <w:rPr>
          <w:rFonts w:ascii="Times New Roman Regular" w:hAnsi="Times New Roman Regular" w:cs="Times New Roman Regular"/>
        </w:rPr>
        <w:t>规划总则</w:t>
      </w:r>
      <w:bookmarkEnd w:id="18"/>
    </w:p>
    <w:p w:rsidR="00B373FD">
      <w:pPr>
        <w:pStyle w:val="Heading2"/>
        <w:numPr>
          <w:ilvl w:val="1"/>
          <w:numId w:val="4"/>
        </w:numPr>
        <w:spacing w:before="156" w:after="156"/>
        <w:rPr>
          <w:rFonts w:ascii="Times New Roman Regular" w:hAnsi="Times New Roman Regular" w:cs="Times New Roman Regular"/>
        </w:rPr>
      </w:pPr>
      <w:bookmarkStart w:id="19" w:name="_Toc77862680"/>
      <w:r>
        <w:rPr>
          <w:rFonts w:ascii="Times New Roman Regular" w:hAnsi="Times New Roman Regular" w:cs="Times New Roman Regular"/>
        </w:rPr>
        <w:t>规划背景</w:t>
      </w:r>
      <w:bookmarkEnd w:id="19"/>
    </w:p>
    <w:p w:rsidR="00B373FD">
      <w:pPr>
        <w:adjustRightInd w:val="0"/>
        <w:snapToGrid w:val="0"/>
        <w:ind w:firstLine="640" w:firstLineChars="200"/>
        <w:rPr>
          <w:rFonts w:ascii="Times New Roman Regular" w:hAnsi="Times New Roman Regular" w:cs="Times New Roman Regular"/>
        </w:rPr>
      </w:pPr>
      <w:r>
        <w:rPr>
          <w:rFonts w:ascii="Times New Roman Regular" w:hAnsi="Times New Roman Regular" w:cs="Times New Roman Regular"/>
        </w:rPr>
        <w:t>小康全面不全面，生态环境质量是关键。党的十八大提出把生态文明建设纳入</w:t>
      </w:r>
      <w:r>
        <w:rPr>
          <w:rFonts w:ascii="Times New Roman Regular" w:hAnsi="Times New Roman Regular" w:cs="Times New Roman Regular"/>
        </w:rPr>
        <w:t>“</w:t>
      </w:r>
      <w:r>
        <w:rPr>
          <w:rFonts w:ascii="Times New Roman Regular" w:hAnsi="Times New Roman Regular" w:cs="Times New Roman Regular"/>
        </w:rPr>
        <w:t>五位一体</w:t>
      </w:r>
      <w:r>
        <w:rPr>
          <w:rFonts w:ascii="Times New Roman Regular" w:hAnsi="Times New Roman Regular" w:cs="Times New Roman Regular"/>
        </w:rPr>
        <w:t>”</w:t>
      </w:r>
      <w:r>
        <w:rPr>
          <w:rFonts w:ascii="Times New Roman Regular" w:hAnsi="Times New Roman Regular" w:cs="Times New Roman Regular"/>
        </w:rPr>
        <w:t>总体布局，党的十九大提出</w:t>
      </w:r>
      <w:r>
        <w:rPr>
          <w:rFonts w:ascii="Times New Roman Regular" w:hAnsi="Times New Roman Regular" w:cs="Times New Roman Regular"/>
        </w:rPr>
        <w:t>“</w:t>
      </w:r>
      <w:r>
        <w:rPr>
          <w:rFonts w:ascii="Times New Roman Regular" w:hAnsi="Times New Roman Regular" w:cs="Times New Roman Regular"/>
        </w:rPr>
        <w:t>要坚持人与自然和谐共生</w:t>
      </w:r>
      <w:r>
        <w:rPr>
          <w:rFonts w:ascii="Times New Roman Regular" w:hAnsi="Times New Roman Regular" w:cs="Times New Roman Regular"/>
        </w:rPr>
        <w:t>”</w:t>
      </w:r>
      <w:r>
        <w:rPr>
          <w:rFonts w:ascii="Times New Roman Regular" w:hAnsi="Times New Roman Regular" w:cs="Times New Roman Regular"/>
        </w:rPr>
        <w:t>，指出建设生态文明是中华民族永续发展的千年大计，对生态文明建设和生态环境保护提出了一系列新思想、新要求、新目标和新部署，开启了生态文明建设新时代。当前，生态环境问题仍是制约我国经济社会高质量发展的突出短板，必须把社会经济与生态环境保护统筹结合，始终如一地坚持节约优先、保护优先、自然恢复为主的方针，推动形成节约资源和保护环境的空间格局、产业结构、生产方式、生活方式，为人民创造良好生产生活环境，建设美丽中国。</w:t>
      </w:r>
    </w:p>
    <w:p w:rsidR="00B373FD">
      <w:pPr>
        <w:adjustRightInd w:val="0"/>
        <w:snapToGrid w:val="0"/>
        <w:ind w:firstLine="640" w:firstLineChars="200"/>
        <w:rPr>
          <w:rFonts w:ascii="Times New Roman Regular" w:hAnsi="Times New Roman Regular" w:cs="Times New Roman Regular"/>
        </w:rPr>
      </w:pPr>
      <w:r>
        <w:rPr>
          <w:rFonts w:ascii="Times New Roman Regular" w:hAnsi="Times New Roman Regular" w:cs="Times New Roman Regular"/>
        </w:rPr>
        <w:t>太仓市位于江苏省东南部，长江口南岸，紧邻长三角地区核心城市上海，是长江出海口之处的港口城市，长江经济带与沿海经济带在这里形成交汇节点。《长江三角洲区域一体化发展规划纲要》明确提出，推动省级毗邻区域协同发展，支持嘉定－昆山－太仓等省级毗邻区域开展深度合作，独特的地理优势和战略优势，对太仓生态环境保护提出了更高的要求。</w:t>
      </w:r>
    </w:p>
    <w:p w:rsidR="00B373FD">
      <w:pPr>
        <w:adjustRightInd w:val="0"/>
        <w:snapToGrid w:val="0"/>
        <w:ind w:firstLine="640" w:firstLineChars="200"/>
        <w:rPr>
          <w:rFonts w:ascii="Times New Roman Regular" w:hAnsi="Times New Roman Regular" w:cs="Times New Roman Regular"/>
        </w:rPr>
      </w:pPr>
      <w:r>
        <w:rPr>
          <w:rFonts w:ascii="Times New Roman Regular" w:hAnsi="Times New Roman Regular" w:cs="Times New Roman Regular"/>
        </w:rPr>
        <w:t>“</w:t>
      </w:r>
      <w:r>
        <w:rPr>
          <w:rFonts w:ascii="Times New Roman Regular" w:hAnsi="Times New Roman Regular" w:cs="Times New Roman Regular"/>
        </w:rPr>
        <w:t>十四五</w:t>
      </w:r>
      <w:r>
        <w:rPr>
          <w:rFonts w:ascii="Times New Roman Regular" w:hAnsi="Times New Roman Regular" w:cs="Times New Roman Regular"/>
        </w:rPr>
        <w:t>”</w:t>
      </w:r>
      <w:r>
        <w:rPr>
          <w:rFonts w:ascii="Times New Roman Regular" w:hAnsi="Times New Roman Regular" w:cs="Times New Roman Regular"/>
        </w:rPr>
        <w:t>是开启全面建设社会主义现代化国家新征程的第一个五年，是向第二个百年奋斗目标进军的起步阶段。研究好编制好《太仓市</w:t>
      </w:r>
      <w:r>
        <w:rPr>
          <w:rFonts w:ascii="Times New Roman Regular" w:hAnsi="Times New Roman Regular" w:cs="Times New Roman Regular"/>
        </w:rPr>
        <w:t>“</w:t>
      </w:r>
      <w:r>
        <w:rPr>
          <w:rFonts w:ascii="Times New Roman Regular" w:hAnsi="Times New Roman Regular" w:cs="Times New Roman Regular"/>
        </w:rPr>
        <w:t>十四五</w:t>
      </w:r>
      <w:r>
        <w:rPr>
          <w:rFonts w:ascii="Times New Roman Regular" w:hAnsi="Times New Roman Regular" w:cs="Times New Roman Regular"/>
        </w:rPr>
        <w:t>”</w:t>
      </w:r>
      <w:r>
        <w:rPr>
          <w:rFonts w:ascii="Times New Roman Regular" w:hAnsi="Times New Roman Regular" w:cs="Times New Roman Regular"/>
        </w:rPr>
        <w:t>生态环境保护规划》（以下</w:t>
      </w:r>
      <w:r>
        <w:rPr>
          <w:rFonts w:ascii="Times New Roman Regular" w:hAnsi="Times New Roman Regular" w:cs="Times New Roman Regular"/>
        </w:rPr>
        <w:t>简称《规划》），坚定不移走生态优先、绿色发展之路，努力打造青山常在、绿水长流、空气常新的美丽太仓，对深入贯彻落实党的十九大精神和习近平总书记视察江苏重要讲话精神，努力实现环境效益、经济效益和社会效益多赢，进一步发挥生态环境保护的倒逼作用，协同推进经济高质量发展和生态环境高水平保护，持续推进</w:t>
      </w:r>
      <w:r>
        <w:rPr>
          <w:rFonts w:ascii="Times New Roman Regular" w:hAnsi="Times New Roman Regular" w:cs="Times New Roman Regular"/>
        </w:rPr>
        <w:t>“</w:t>
      </w:r>
      <w:r>
        <w:rPr>
          <w:rFonts w:ascii="Times New Roman Regular" w:hAnsi="Times New Roman Regular" w:cs="Times New Roman Regular"/>
        </w:rPr>
        <w:t>现代田园城、幸福金太仓</w:t>
      </w:r>
      <w:r>
        <w:rPr>
          <w:rFonts w:ascii="Times New Roman Regular" w:hAnsi="Times New Roman Regular" w:cs="Times New Roman Regular"/>
        </w:rPr>
        <w:t>”</w:t>
      </w:r>
      <w:r>
        <w:rPr>
          <w:rFonts w:ascii="Times New Roman Regular" w:hAnsi="Times New Roman Regular" w:cs="Times New Roman Regular"/>
        </w:rPr>
        <w:t>建设，打造</w:t>
      </w:r>
      <w:r>
        <w:rPr>
          <w:rFonts w:ascii="Times New Roman Regular" w:hAnsi="Times New Roman Regular" w:cs="Times New Roman Regular"/>
        </w:rPr>
        <w:t>“</w:t>
      </w:r>
      <w:r>
        <w:rPr>
          <w:rFonts w:ascii="Times New Roman Regular" w:hAnsi="Times New Roman Regular" w:cs="Times New Roman Regular"/>
        </w:rPr>
        <w:t>嘉昆太协同创新核心圈</w:t>
      </w:r>
      <w:r>
        <w:rPr>
          <w:rFonts w:ascii="Times New Roman Regular" w:hAnsi="Times New Roman Regular" w:cs="Times New Roman Regular"/>
        </w:rPr>
        <w:t>”</w:t>
      </w:r>
      <w:r>
        <w:rPr>
          <w:rFonts w:ascii="Times New Roman Regular" w:hAnsi="Times New Roman Regular" w:cs="Times New Roman Regular"/>
        </w:rPr>
        <w:t>，推动区域成为长三角更高质量一体化发展的先行区具有重大意义。</w:t>
      </w:r>
    </w:p>
    <w:p w:rsidR="00B373FD">
      <w:pPr>
        <w:pStyle w:val="Heading2"/>
        <w:numPr>
          <w:ilvl w:val="1"/>
          <w:numId w:val="4"/>
        </w:numPr>
        <w:spacing w:before="156" w:after="156"/>
        <w:rPr>
          <w:rFonts w:ascii="Times New Roman Regular" w:hAnsi="Times New Roman Regular" w:cs="Times New Roman Regular"/>
        </w:rPr>
      </w:pPr>
      <w:bookmarkStart w:id="20" w:name="_Toc77862681"/>
      <w:r>
        <w:rPr>
          <w:rFonts w:ascii="Times New Roman Regular" w:hAnsi="Times New Roman Regular" w:cs="Times New Roman Regular"/>
        </w:rPr>
        <w:t>规划范围与时限</w:t>
      </w:r>
      <w:bookmarkEnd w:id="20"/>
    </w:p>
    <w:p w:rsidR="00B373FD">
      <w:pPr>
        <w:adjustRightInd w:val="0"/>
        <w:snapToGrid w:val="0"/>
        <w:ind w:firstLine="640" w:firstLineChars="200"/>
        <w:rPr>
          <w:rFonts w:ascii="Times New Roman Regular" w:hAnsi="Times New Roman Regular" w:cs="Times New Roman Regular"/>
        </w:rPr>
      </w:pPr>
      <w:r>
        <w:rPr>
          <w:rFonts w:ascii="Times New Roman Regular" w:hAnsi="Times New Roman Regular" w:cs="Times New Roman Regular"/>
        </w:rPr>
        <w:t>规划范围：太仓市全域，包括城厢镇、沙溪镇、浏河镇、浮桥镇、璜泾镇、双凤镇、新区及科教新城，总面积</w:t>
      </w:r>
      <w:r>
        <w:rPr>
          <w:rFonts w:ascii="Times New Roman Regular" w:hAnsi="Times New Roman Regular" w:cs="Times New Roman Regular"/>
        </w:rPr>
        <w:t>809.93</w:t>
      </w:r>
      <w:r>
        <w:rPr>
          <w:rFonts w:ascii="Times New Roman Regular" w:hAnsi="Times New Roman Regular" w:cs="Times New Roman Regular"/>
        </w:rPr>
        <w:t>平方公里。</w:t>
      </w:r>
    </w:p>
    <w:p w:rsidR="00B373FD">
      <w:pPr>
        <w:adjustRightInd w:val="0"/>
        <w:snapToGrid w:val="0"/>
        <w:ind w:firstLine="640" w:firstLineChars="200"/>
        <w:rPr>
          <w:rFonts w:ascii="Times New Roman Regular" w:hAnsi="Times New Roman Regular" w:cs="Times New Roman Regular"/>
        </w:rPr>
      </w:pPr>
      <w:r>
        <w:rPr>
          <w:rFonts w:ascii="Times New Roman Regular" w:hAnsi="Times New Roman Regular" w:cs="Times New Roman Regular"/>
        </w:rPr>
        <w:t>规划期限：</w:t>
      </w:r>
      <w:r>
        <w:rPr>
          <w:rFonts w:ascii="Times New Roman Regular" w:hAnsi="Times New Roman Regular" w:cs="Times New Roman Regular"/>
        </w:rPr>
        <w:t>2021-2025</w:t>
      </w:r>
      <w:r>
        <w:rPr>
          <w:rFonts w:ascii="Times New Roman Regular" w:hAnsi="Times New Roman Regular" w:cs="Times New Roman Regular"/>
        </w:rPr>
        <w:t>年，规划基准年为</w:t>
      </w:r>
      <w:r>
        <w:rPr>
          <w:rFonts w:ascii="Times New Roman Regular" w:hAnsi="Times New Roman Regular" w:cs="Times New Roman Regular"/>
        </w:rPr>
        <w:t>2020</w:t>
      </w:r>
      <w:r>
        <w:rPr>
          <w:rFonts w:ascii="Times New Roman Regular" w:hAnsi="Times New Roman Regular" w:cs="Times New Roman Regular"/>
        </w:rPr>
        <w:t>年。</w:t>
      </w:r>
    </w:p>
    <w:p w:rsidR="00B373FD">
      <w:pPr>
        <w:pStyle w:val="Heading2"/>
        <w:numPr>
          <w:ilvl w:val="1"/>
          <w:numId w:val="4"/>
        </w:numPr>
        <w:spacing w:before="156" w:after="156"/>
        <w:rPr>
          <w:rFonts w:ascii="Times New Roman Regular" w:hAnsi="Times New Roman Regular" w:cs="Times New Roman Regular"/>
        </w:rPr>
      </w:pPr>
      <w:bookmarkStart w:id="21" w:name="_Toc77862682"/>
      <w:r>
        <w:rPr>
          <w:rFonts w:ascii="Times New Roman Regular" w:hAnsi="Times New Roman Regular" w:cs="Times New Roman Regular"/>
        </w:rPr>
        <w:t>编制依据</w:t>
      </w:r>
      <w:bookmarkEnd w:id="21"/>
    </w:p>
    <w:p w:rsidR="00B373FD">
      <w:pPr>
        <w:pStyle w:val="Heading3"/>
        <w:numPr>
          <w:ilvl w:val="2"/>
          <w:numId w:val="4"/>
        </w:numPr>
        <w:rPr>
          <w:rFonts w:ascii="Times New Roman Regular" w:hAnsi="Times New Roman Regular" w:cs="Times New Roman Regular"/>
        </w:rPr>
      </w:pPr>
      <w:r>
        <w:rPr>
          <w:rFonts w:ascii="Times New Roman Regular" w:hAnsi="Times New Roman Regular" w:cs="Times New Roman Regular"/>
        </w:rPr>
        <w:t>国家相关法规、政策</w:t>
      </w:r>
    </w:p>
    <w:p w:rsidR="00B373FD">
      <w:pPr>
        <w:numPr>
          <w:ilvl w:val="0"/>
          <w:numId w:val="5"/>
        </w:numPr>
        <w:ind w:firstLine="640" w:firstLineChars="200"/>
        <w:rPr>
          <w:rFonts w:ascii="Times New Roman Regular" w:hAnsi="Times New Roman Regular" w:cs="Times New Roman Regular"/>
          <w:szCs w:val="32"/>
        </w:rPr>
      </w:pPr>
      <w:r>
        <w:rPr>
          <w:rFonts w:ascii="Times New Roman Regular" w:hAnsi="Times New Roman Regular" w:cs="Times New Roman Regular"/>
          <w:szCs w:val="32"/>
        </w:rPr>
        <w:t>《中华人民共和国环境保护法》；</w:t>
      </w:r>
    </w:p>
    <w:p w:rsidR="00B373FD">
      <w:pPr>
        <w:numPr>
          <w:ilvl w:val="0"/>
          <w:numId w:val="5"/>
        </w:numPr>
        <w:ind w:firstLine="640" w:firstLineChars="200"/>
        <w:rPr>
          <w:rFonts w:ascii="Times New Roman Regular" w:hAnsi="Times New Roman Regular" w:cs="Times New Roman Regular"/>
          <w:szCs w:val="32"/>
        </w:rPr>
      </w:pPr>
      <w:r>
        <w:rPr>
          <w:rFonts w:ascii="Times New Roman Regular" w:hAnsi="Times New Roman Regular" w:cs="Times New Roman Regular"/>
          <w:szCs w:val="32"/>
        </w:rPr>
        <w:t>《中华人民共和国大气污染防治法》；</w:t>
      </w:r>
    </w:p>
    <w:p w:rsidR="00B373FD">
      <w:pPr>
        <w:numPr>
          <w:ilvl w:val="0"/>
          <w:numId w:val="6"/>
        </w:numPr>
        <w:ind w:firstLine="640" w:firstLineChars="200"/>
        <w:rPr>
          <w:rFonts w:ascii="Times New Roman Regular" w:hAnsi="Times New Roman Regular" w:cs="Times New Roman Regular"/>
          <w:szCs w:val="32"/>
        </w:rPr>
      </w:pPr>
      <w:r>
        <w:rPr>
          <w:rFonts w:ascii="Times New Roman Regular" w:hAnsi="Times New Roman Regular" w:cs="Times New Roman Regular"/>
          <w:szCs w:val="32"/>
        </w:rPr>
        <w:t>《中华人民共和国水污染防治法》；</w:t>
      </w:r>
    </w:p>
    <w:p w:rsidR="00B373FD">
      <w:pPr>
        <w:numPr>
          <w:ilvl w:val="0"/>
          <w:numId w:val="6"/>
        </w:numPr>
        <w:ind w:firstLine="640" w:firstLineChars="200"/>
        <w:rPr>
          <w:rFonts w:ascii="Times New Roman Regular" w:hAnsi="Times New Roman Regular" w:cs="Times New Roman Regular"/>
          <w:szCs w:val="32"/>
        </w:rPr>
      </w:pPr>
      <w:r>
        <w:rPr>
          <w:rFonts w:ascii="Times New Roman Regular" w:hAnsi="Times New Roman Regular" w:cs="Times New Roman Regular"/>
          <w:szCs w:val="32"/>
        </w:rPr>
        <w:t>《中华人民共和国土壤污染防治法》；</w:t>
      </w:r>
    </w:p>
    <w:p w:rsidR="00B373FD">
      <w:pPr>
        <w:numPr>
          <w:ilvl w:val="0"/>
          <w:numId w:val="6"/>
        </w:numPr>
        <w:ind w:firstLine="640" w:firstLineChars="200"/>
        <w:rPr>
          <w:rFonts w:ascii="Times New Roman Regular" w:hAnsi="Times New Roman Regular" w:cs="Times New Roman Regular"/>
          <w:szCs w:val="32"/>
        </w:rPr>
      </w:pPr>
      <w:r>
        <w:rPr>
          <w:rFonts w:ascii="Times New Roman Regular" w:hAnsi="Times New Roman Regular" w:cs="Times New Roman Regular"/>
          <w:szCs w:val="32"/>
        </w:rPr>
        <w:t>《中华人民共和国环境噪声污染防治法》；</w:t>
      </w:r>
    </w:p>
    <w:p w:rsidR="00B373FD">
      <w:pPr>
        <w:numPr>
          <w:ilvl w:val="0"/>
          <w:numId w:val="6"/>
        </w:numPr>
        <w:ind w:firstLine="640" w:firstLineChars="200"/>
        <w:rPr>
          <w:rFonts w:ascii="Times New Roman Regular" w:hAnsi="Times New Roman Regular" w:cs="Times New Roman Regular"/>
          <w:szCs w:val="32"/>
        </w:rPr>
      </w:pPr>
      <w:r>
        <w:rPr>
          <w:rFonts w:ascii="Times New Roman Regular" w:hAnsi="Times New Roman Regular" w:cs="Times New Roman Regular"/>
          <w:szCs w:val="32"/>
        </w:rPr>
        <w:t>《中华人民共和国固体废物污染环境防治法》；</w:t>
      </w:r>
    </w:p>
    <w:p w:rsidR="00B373FD">
      <w:pPr>
        <w:numPr>
          <w:ilvl w:val="0"/>
          <w:numId w:val="6"/>
        </w:numPr>
        <w:ind w:firstLine="640" w:firstLineChars="200"/>
        <w:rPr>
          <w:rFonts w:ascii="Times New Roman Regular" w:hAnsi="Times New Roman Regular" w:cs="Times New Roman Regular"/>
          <w:szCs w:val="32"/>
        </w:rPr>
      </w:pPr>
      <w:r>
        <w:rPr>
          <w:rFonts w:ascii="Times New Roman Regular" w:hAnsi="Times New Roman Regular" w:cs="Times New Roman Regular"/>
          <w:szCs w:val="32"/>
        </w:rPr>
        <w:t>《中华人民共和国清洁生产促进法》；</w:t>
      </w:r>
    </w:p>
    <w:p w:rsidR="00B373FD">
      <w:pPr>
        <w:numPr>
          <w:ilvl w:val="0"/>
          <w:numId w:val="6"/>
        </w:numPr>
        <w:ind w:firstLine="640" w:firstLineChars="200"/>
        <w:rPr>
          <w:rFonts w:ascii="Times New Roman Regular" w:hAnsi="Times New Roman Regular" w:cs="Times New Roman Regular"/>
          <w:szCs w:val="32"/>
        </w:rPr>
      </w:pPr>
      <w:r>
        <w:rPr>
          <w:rFonts w:ascii="Times New Roman Regular" w:hAnsi="Times New Roman Regular" w:cs="Times New Roman Regular"/>
          <w:szCs w:val="32"/>
        </w:rPr>
        <w:t>《中华人民共和国循环经济促进法》；</w:t>
      </w:r>
    </w:p>
    <w:p w:rsidR="00B373FD">
      <w:pPr>
        <w:numPr>
          <w:ilvl w:val="0"/>
          <w:numId w:val="6"/>
        </w:numPr>
        <w:ind w:firstLine="640" w:firstLineChars="200"/>
        <w:rPr>
          <w:rFonts w:ascii="Times New Roman Regular" w:hAnsi="Times New Roman Regular" w:cs="Times New Roman Regular"/>
          <w:szCs w:val="32"/>
        </w:rPr>
      </w:pPr>
      <w:r>
        <w:rPr>
          <w:rFonts w:ascii="Times New Roman Regular" w:hAnsi="Times New Roman Regular" w:cs="Times New Roman Regular"/>
          <w:szCs w:val="32"/>
        </w:rPr>
        <w:t>《中华人民共和国节约能源法》；</w:t>
      </w:r>
    </w:p>
    <w:p w:rsidR="00B373FD">
      <w:pPr>
        <w:numPr>
          <w:ilvl w:val="0"/>
          <w:numId w:val="6"/>
        </w:numPr>
        <w:ind w:firstLine="640" w:firstLineChars="200"/>
        <w:rPr>
          <w:rFonts w:ascii="Times New Roman Regular" w:hAnsi="Times New Roman Regular" w:cs="Times New Roman Regular"/>
          <w:szCs w:val="32"/>
        </w:rPr>
      </w:pPr>
      <w:r>
        <w:rPr>
          <w:rFonts w:ascii="Times New Roman Regular" w:hAnsi="Times New Roman Regular" w:cs="Times New Roman Regular"/>
          <w:szCs w:val="32"/>
        </w:rPr>
        <w:t>《太湖流域管理条例》；</w:t>
      </w:r>
    </w:p>
    <w:p w:rsidR="00B373FD">
      <w:pPr>
        <w:numPr>
          <w:ilvl w:val="0"/>
          <w:numId w:val="6"/>
        </w:numPr>
        <w:ind w:firstLine="640" w:firstLineChars="200"/>
        <w:rPr>
          <w:rFonts w:ascii="Times New Roman Regular" w:hAnsi="Times New Roman Regular" w:cs="Times New Roman Regular"/>
          <w:szCs w:val="32"/>
        </w:rPr>
      </w:pPr>
      <w:r>
        <w:rPr>
          <w:rFonts w:ascii="Times New Roman Regular" w:hAnsi="Times New Roman Regular" w:cs="Times New Roman Regular"/>
          <w:szCs w:val="32"/>
        </w:rPr>
        <w:t>《关于全面加强生态环境保护坚决打好污染防治攻坚战的实施意见》</w:t>
      </w:r>
      <w:r>
        <w:rPr>
          <w:szCs w:val="32"/>
        </w:rPr>
        <w:t>（</w:t>
      </w:r>
      <w:r>
        <w:rPr>
          <w:szCs w:val="32"/>
        </w:rPr>
        <w:t>2018</w:t>
      </w:r>
      <w:r>
        <w:rPr>
          <w:szCs w:val="32"/>
        </w:rPr>
        <w:t>年</w:t>
      </w:r>
      <w:r>
        <w:rPr>
          <w:szCs w:val="32"/>
        </w:rPr>
        <w:t>6</w:t>
      </w:r>
      <w:r>
        <w:rPr>
          <w:szCs w:val="32"/>
        </w:rPr>
        <w:t>月</w:t>
      </w:r>
      <w:r>
        <w:rPr>
          <w:szCs w:val="32"/>
        </w:rPr>
        <w:t>16</w:t>
      </w:r>
      <w:r>
        <w:rPr>
          <w:szCs w:val="32"/>
        </w:rPr>
        <w:t>日）</w:t>
      </w:r>
      <w:r>
        <w:rPr>
          <w:rFonts w:ascii="Times New Roman Regular" w:hAnsi="Times New Roman Regular" w:cs="Times New Roman Regular"/>
          <w:szCs w:val="32"/>
        </w:rPr>
        <w:t>；</w:t>
      </w:r>
    </w:p>
    <w:p w:rsidR="00B373FD">
      <w:pPr>
        <w:numPr>
          <w:ilvl w:val="0"/>
          <w:numId w:val="6"/>
        </w:numPr>
        <w:ind w:firstLine="640" w:firstLineChars="200"/>
        <w:rPr>
          <w:rFonts w:ascii="Times New Roman Regular" w:hAnsi="Times New Roman Regular" w:cs="Times New Roman Regular"/>
          <w:szCs w:val="32"/>
        </w:rPr>
      </w:pPr>
      <w:r>
        <w:rPr>
          <w:rFonts w:ascii="Times New Roman Regular" w:hAnsi="Times New Roman Regular" w:cs="Times New Roman Regular"/>
          <w:szCs w:val="32"/>
        </w:rPr>
        <w:t>《关于在疫情防控常态化前提下积极服务落实</w:t>
      </w:r>
      <w:r>
        <w:rPr>
          <w:rFonts w:ascii="Times New Roman Regular" w:hAnsi="Times New Roman Regular" w:cs="Times New Roman Regular"/>
          <w:szCs w:val="32"/>
        </w:rPr>
        <w:t>“</w:t>
      </w:r>
      <w:r>
        <w:rPr>
          <w:rFonts w:ascii="Times New Roman Regular" w:hAnsi="Times New Roman Regular" w:cs="Times New Roman Regular"/>
          <w:szCs w:val="32"/>
        </w:rPr>
        <w:t>六保</w:t>
      </w:r>
      <w:r>
        <w:rPr>
          <w:rFonts w:ascii="Times New Roman Regular" w:hAnsi="Times New Roman Regular" w:cs="Times New Roman Regular"/>
          <w:szCs w:val="32"/>
        </w:rPr>
        <w:t>”</w:t>
      </w:r>
      <w:r>
        <w:rPr>
          <w:rFonts w:ascii="Times New Roman Regular" w:hAnsi="Times New Roman Regular" w:cs="Times New Roman Regular"/>
          <w:szCs w:val="32"/>
        </w:rPr>
        <w:t>任务坚决打赢打好污染防治攻坚战的意见》</w:t>
      </w:r>
      <w:r>
        <w:rPr>
          <w:szCs w:val="32"/>
        </w:rPr>
        <w:t>（环厅〔</w:t>
      </w:r>
      <w:r>
        <w:rPr>
          <w:szCs w:val="32"/>
        </w:rPr>
        <w:t>2020</w:t>
      </w:r>
      <w:r>
        <w:rPr>
          <w:szCs w:val="32"/>
        </w:rPr>
        <w:t>〕</w:t>
      </w:r>
      <w:r>
        <w:rPr>
          <w:szCs w:val="32"/>
        </w:rPr>
        <w:t>27</w:t>
      </w:r>
      <w:r>
        <w:rPr>
          <w:szCs w:val="32"/>
        </w:rPr>
        <w:t>号）</w:t>
      </w:r>
      <w:r>
        <w:rPr>
          <w:rFonts w:ascii="Times New Roman Regular" w:hAnsi="Times New Roman Regular" w:cs="Times New Roman Regular"/>
          <w:szCs w:val="32"/>
        </w:rPr>
        <w:t>；</w:t>
      </w:r>
    </w:p>
    <w:p w:rsidR="00B373FD">
      <w:pPr>
        <w:numPr>
          <w:ilvl w:val="0"/>
          <w:numId w:val="6"/>
        </w:numPr>
        <w:ind w:firstLine="640" w:firstLineChars="200"/>
        <w:rPr>
          <w:rFonts w:ascii="Times New Roman Regular" w:hAnsi="Times New Roman Regular" w:cs="Times New Roman Regular"/>
          <w:szCs w:val="32"/>
        </w:rPr>
      </w:pPr>
      <w:r>
        <w:rPr>
          <w:rFonts w:ascii="Times New Roman Regular" w:hAnsi="Times New Roman Regular" w:cs="Times New Roman Regular"/>
          <w:szCs w:val="32"/>
        </w:rPr>
        <w:t>《长江三角洲区域一体化发展规划纲要》；</w:t>
      </w:r>
    </w:p>
    <w:p w:rsidR="00B373FD">
      <w:pPr>
        <w:numPr>
          <w:ilvl w:val="0"/>
          <w:numId w:val="6"/>
        </w:numPr>
        <w:ind w:firstLine="640" w:firstLineChars="200"/>
        <w:rPr>
          <w:rFonts w:ascii="Times New Roman Regular" w:hAnsi="Times New Roman Regular" w:cs="Times New Roman Regular"/>
          <w:szCs w:val="32"/>
        </w:rPr>
      </w:pPr>
      <w:r>
        <w:rPr>
          <w:rFonts w:ascii="Times New Roman Regular" w:hAnsi="Times New Roman Regular" w:cs="Times New Roman Regular"/>
          <w:szCs w:val="32"/>
        </w:rPr>
        <w:t>《长三角生态绿色一体化发展示范区总体方案》</w:t>
      </w:r>
      <w:r>
        <w:rPr>
          <w:szCs w:val="32"/>
        </w:rPr>
        <w:t>（发改地区〔</w:t>
      </w:r>
      <w:r>
        <w:rPr>
          <w:szCs w:val="32"/>
        </w:rPr>
        <w:t>2019</w:t>
      </w:r>
      <w:r>
        <w:rPr>
          <w:szCs w:val="32"/>
        </w:rPr>
        <w:t>〕</w:t>
      </w:r>
      <w:r>
        <w:rPr>
          <w:szCs w:val="32"/>
        </w:rPr>
        <w:t>1686</w:t>
      </w:r>
      <w:r>
        <w:rPr>
          <w:szCs w:val="32"/>
        </w:rPr>
        <w:t>号）</w:t>
      </w:r>
      <w:r>
        <w:rPr>
          <w:rFonts w:ascii="Times New Roman Regular" w:hAnsi="Times New Roman Regular" w:cs="Times New Roman Regular"/>
          <w:szCs w:val="32"/>
        </w:rPr>
        <w:t>；</w:t>
      </w:r>
    </w:p>
    <w:p w:rsidR="00B373FD">
      <w:pPr>
        <w:numPr>
          <w:ilvl w:val="0"/>
          <w:numId w:val="6"/>
        </w:numPr>
        <w:ind w:firstLine="640" w:firstLineChars="200"/>
        <w:rPr>
          <w:rFonts w:ascii="Times New Roman Regular" w:hAnsi="Times New Roman Regular" w:cs="Times New Roman Regular"/>
          <w:szCs w:val="32"/>
        </w:rPr>
      </w:pPr>
      <w:r>
        <w:rPr>
          <w:rFonts w:ascii="Times New Roman Regular" w:hAnsi="Times New Roman Regular" w:cs="Times New Roman Regular"/>
          <w:szCs w:val="32"/>
        </w:rPr>
        <w:t>《长江经济带生态环境保护规划》</w:t>
      </w:r>
      <w:r>
        <w:rPr>
          <w:szCs w:val="32"/>
        </w:rPr>
        <w:t>（环规财〔</w:t>
      </w:r>
      <w:r>
        <w:rPr>
          <w:szCs w:val="32"/>
        </w:rPr>
        <w:t>2017</w:t>
      </w:r>
      <w:r>
        <w:rPr>
          <w:szCs w:val="32"/>
        </w:rPr>
        <w:t>〕</w:t>
      </w:r>
      <w:r>
        <w:rPr>
          <w:szCs w:val="32"/>
        </w:rPr>
        <w:t>88</w:t>
      </w:r>
      <w:r>
        <w:rPr>
          <w:szCs w:val="32"/>
        </w:rPr>
        <w:t>号）</w:t>
      </w:r>
      <w:r>
        <w:rPr>
          <w:rFonts w:ascii="Times New Roman Regular" w:hAnsi="Times New Roman Regular" w:cs="Times New Roman Regular"/>
          <w:szCs w:val="32"/>
        </w:rPr>
        <w:t>；</w:t>
      </w:r>
    </w:p>
    <w:p w:rsidR="00B373FD">
      <w:pPr>
        <w:numPr>
          <w:ilvl w:val="0"/>
          <w:numId w:val="6"/>
        </w:numPr>
        <w:ind w:firstLine="640" w:firstLineChars="200"/>
        <w:rPr>
          <w:rFonts w:ascii="Times New Roman Regular" w:hAnsi="Times New Roman Regular" w:cs="Times New Roman Regular"/>
        </w:rPr>
      </w:pPr>
      <w:r>
        <w:rPr>
          <w:rFonts w:ascii="Times New Roman Regular" w:hAnsi="Times New Roman Regular" w:cs="Times New Roman Regular"/>
          <w:szCs w:val="32"/>
        </w:rPr>
        <w:t>《医疗机构废弃物综合治理工作方案</w:t>
      </w:r>
      <w:r>
        <w:rPr>
          <w:rFonts w:ascii="Times New Roman Regular" w:eastAsia="方正仿宋_GBK" w:hAnsi="Times New Roman Regular" w:cs="Times New Roman Regular"/>
          <w:color w:val="000000"/>
          <w:sz w:val="28"/>
          <w:szCs w:val="28"/>
        </w:rPr>
        <w:t>》</w:t>
      </w:r>
      <w:r>
        <w:rPr>
          <w:rFonts w:ascii="Times New Roman Regular" w:hAnsi="Times New Roman Regular" w:cs="Times New Roman Regular"/>
          <w:szCs w:val="32"/>
        </w:rPr>
        <w:t>；</w:t>
      </w:r>
    </w:p>
    <w:p w:rsidR="00B373FD">
      <w:pPr>
        <w:numPr>
          <w:ilvl w:val="0"/>
          <w:numId w:val="6"/>
        </w:numPr>
        <w:ind w:firstLine="640" w:firstLineChars="200"/>
        <w:rPr>
          <w:rFonts w:ascii="Times New Roman Regular" w:hAnsi="Times New Roman Regular" w:cs="Times New Roman Regular"/>
          <w:szCs w:val="32"/>
        </w:rPr>
      </w:pPr>
      <w:r>
        <w:rPr>
          <w:rFonts w:ascii="Times New Roman Regular" w:hAnsi="Times New Roman Regular" w:cs="Times New Roman Regular"/>
          <w:szCs w:val="32"/>
        </w:rPr>
        <w:t>《大运河生态环境保护修复专项规划》；</w:t>
      </w:r>
    </w:p>
    <w:p w:rsidR="00B373FD">
      <w:pPr>
        <w:numPr>
          <w:ilvl w:val="0"/>
          <w:numId w:val="6"/>
        </w:numPr>
        <w:ind w:firstLine="640" w:firstLineChars="200"/>
        <w:rPr>
          <w:rFonts w:ascii="Times New Roman Regular" w:hAnsi="Times New Roman Regular" w:cs="Times New Roman Regular"/>
          <w:szCs w:val="32"/>
        </w:rPr>
      </w:pPr>
      <w:r>
        <w:rPr>
          <w:rFonts w:ascii="Times New Roman Regular" w:hAnsi="Times New Roman Regular" w:cs="Times New Roman Regular"/>
          <w:szCs w:val="32"/>
        </w:rPr>
        <w:t>《关于划定并严守生态保护红线的若干意见》</w:t>
      </w:r>
      <w:r>
        <w:rPr>
          <w:szCs w:val="32"/>
        </w:rPr>
        <w:t>（</w:t>
      </w:r>
      <w:r>
        <w:rPr>
          <w:szCs w:val="32"/>
        </w:rPr>
        <w:t>2017</w:t>
      </w:r>
      <w:r>
        <w:rPr>
          <w:szCs w:val="32"/>
        </w:rPr>
        <w:t>年）</w:t>
      </w:r>
      <w:r>
        <w:rPr>
          <w:rFonts w:ascii="Times New Roman Regular" w:hAnsi="Times New Roman Regular" w:cs="Times New Roman Regular"/>
          <w:szCs w:val="32"/>
        </w:rPr>
        <w:t>；</w:t>
      </w:r>
    </w:p>
    <w:p w:rsidR="00B373FD">
      <w:pPr>
        <w:numPr>
          <w:ilvl w:val="0"/>
          <w:numId w:val="6"/>
        </w:numPr>
        <w:ind w:firstLine="640" w:firstLineChars="200"/>
        <w:rPr>
          <w:rFonts w:ascii="Times New Roman Regular" w:hAnsi="Times New Roman Regular" w:cs="Times New Roman Regular"/>
          <w:szCs w:val="32"/>
        </w:rPr>
      </w:pPr>
      <w:r>
        <w:rPr>
          <w:rFonts w:ascii="Times New Roman Regular" w:hAnsi="Times New Roman Regular" w:cs="Times New Roman Regular"/>
          <w:szCs w:val="32"/>
        </w:rPr>
        <w:t>《关于推进污水资源化利用的指导意见》；</w:t>
      </w:r>
    </w:p>
    <w:p w:rsidR="00B373FD">
      <w:pPr>
        <w:numPr>
          <w:ilvl w:val="0"/>
          <w:numId w:val="6"/>
        </w:numPr>
        <w:ind w:firstLine="640" w:firstLineChars="200"/>
        <w:rPr>
          <w:rFonts w:ascii="Times New Roman Regular" w:hAnsi="Times New Roman Regular" w:cs="Times New Roman Regular"/>
        </w:rPr>
      </w:pPr>
      <w:r>
        <w:rPr>
          <w:rFonts w:ascii="Times New Roman Regular" w:hAnsi="Times New Roman Regular" w:cs="Times New Roman Regular"/>
          <w:szCs w:val="32"/>
        </w:rPr>
        <w:t>《长三角生态绿色一体化发展示范区生态环境专项规划（</w:t>
      </w:r>
      <w:r>
        <w:rPr>
          <w:rFonts w:ascii="Times New Roman Regular" w:hAnsi="Times New Roman Regular" w:cs="Times New Roman Regular"/>
          <w:szCs w:val="32"/>
        </w:rPr>
        <w:t>2019-2035</w:t>
      </w:r>
      <w:r>
        <w:rPr>
          <w:rFonts w:ascii="Times New Roman Regular" w:hAnsi="Times New Roman Regular" w:cs="Times New Roman Regular"/>
          <w:szCs w:val="32"/>
        </w:rPr>
        <w:t>年）》；</w:t>
      </w:r>
    </w:p>
    <w:p w:rsidR="00B373FD">
      <w:pPr>
        <w:numPr>
          <w:ilvl w:val="0"/>
          <w:numId w:val="6"/>
        </w:numPr>
        <w:ind w:firstLine="640" w:firstLineChars="200"/>
        <w:rPr>
          <w:rFonts w:ascii="Times New Roman Regular" w:hAnsi="Times New Roman Regular" w:cs="Times New Roman Regular"/>
          <w:szCs w:val="32"/>
        </w:rPr>
      </w:pPr>
      <w:r>
        <w:rPr>
          <w:rFonts w:ascii="Times New Roman Regular" w:hAnsi="Times New Roman Regular" w:cs="Times New Roman Regular"/>
          <w:szCs w:val="32"/>
        </w:rPr>
        <w:t>《中华人民共和国长江保护法》；</w:t>
      </w:r>
    </w:p>
    <w:p w:rsidR="00B373FD">
      <w:pPr>
        <w:numPr>
          <w:ilvl w:val="0"/>
          <w:numId w:val="6"/>
        </w:numPr>
        <w:ind w:firstLine="640" w:firstLineChars="200"/>
        <w:rPr>
          <w:rFonts w:ascii="Times New Roman Regular" w:hAnsi="Times New Roman Regular" w:cs="Times New Roman Regular"/>
          <w:szCs w:val="32"/>
        </w:rPr>
      </w:pPr>
      <w:r>
        <w:rPr>
          <w:rFonts w:ascii="Times New Roman Regular" w:hAnsi="Times New Roman Regular" w:cs="Times New Roman Regular"/>
          <w:szCs w:val="32"/>
        </w:rPr>
        <w:t>《关于在国土空间规划中统筹划定落实三条控制线的指导意见》。</w:t>
      </w:r>
    </w:p>
    <w:p w:rsidR="00B373FD">
      <w:pPr>
        <w:pStyle w:val="Heading3"/>
        <w:numPr>
          <w:ilvl w:val="2"/>
          <w:numId w:val="4"/>
        </w:numPr>
        <w:rPr>
          <w:rFonts w:ascii="Times New Roman Regular" w:hAnsi="Times New Roman Regular" w:cs="Times New Roman Regular"/>
        </w:rPr>
      </w:pPr>
      <w:r>
        <w:rPr>
          <w:rFonts w:ascii="Times New Roman Regular" w:hAnsi="Times New Roman Regular" w:cs="Times New Roman Regular"/>
        </w:rPr>
        <w:t>江苏省相关法规、政策、规划</w:t>
      </w:r>
    </w:p>
    <w:p w:rsidR="00B373FD">
      <w:pPr>
        <w:numPr>
          <w:ilvl w:val="0"/>
          <w:numId w:val="7"/>
        </w:numPr>
        <w:tabs>
          <w:tab w:val="left" w:pos="0"/>
        </w:tabs>
        <w:ind w:firstLine="640" w:firstLineChars="200"/>
        <w:rPr>
          <w:rFonts w:ascii="Times New Roman Regular" w:hAnsi="Times New Roman Regular" w:cs="Times New Roman Regular"/>
          <w:szCs w:val="32"/>
        </w:rPr>
      </w:pPr>
      <w:r>
        <w:rPr>
          <w:rFonts w:ascii="Times New Roman Regular" w:hAnsi="Times New Roman Regular" w:cs="Times New Roman Regular"/>
          <w:szCs w:val="32"/>
        </w:rPr>
        <w:t>《江苏省水域保护办法》；</w:t>
      </w:r>
    </w:p>
    <w:p w:rsidR="00B373FD">
      <w:pPr>
        <w:numPr>
          <w:ilvl w:val="0"/>
          <w:numId w:val="7"/>
        </w:numPr>
        <w:ind w:firstLine="640" w:firstLineChars="200"/>
        <w:rPr>
          <w:rFonts w:ascii="Times New Roman Regular" w:hAnsi="Times New Roman Regular" w:cs="Times New Roman Regular"/>
          <w:szCs w:val="32"/>
        </w:rPr>
      </w:pPr>
      <w:r>
        <w:rPr>
          <w:rFonts w:ascii="Times New Roman Regular" w:hAnsi="Times New Roman Regular" w:cs="Times New Roman Regular"/>
          <w:szCs w:val="32"/>
        </w:rPr>
        <w:t>《江苏省国家级生态保护红线规划》；</w:t>
      </w:r>
    </w:p>
    <w:p w:rsidR="00B373FD">
      <w:pPr>
        <w:numPr>
          <w:ilvl w:val="0"/>
          <w:numId w:val="7"/>
        </w:numPr>
        <w:ind w:firstLine="640" w:firstLineChars="200"/>
        <w:rPr>
          <w:rFonts w:ascii="Times New Roman Regular" w:hAnsi="Times New Roman Regular" w:cs="Times New Roman Regular"/>
          <w:szCs w:val="32"/>
        </w:rPr>
      </w:pPr>
      <w:r>
        <w:rPr>
          <w:rFonts w:ascii="Times New Roman Regular" w:hAnsi="Times New Roman Regular" w:cs="Times New Roman Regular"/>
          <w:szCs w:val="32"/>
        </w:rPr>
        <w:t>《江苏省生态空间管控区域规划》</w:t>
      </w:r>
      <w:r>
        <w:rPr>
          <w:szCs w:val="32"/>
        </w:rPr>
        <w:t>（苏政发〔</w:t>
      </w:r>
      <w:r>
        <w:rPr>
          <w:szCs w:val="32"/>
        </w:rPr>
        <w:t>2020</w:t>
      </w:r>
      <w:r>
        <w:rPr>
          <w:szCs w:val="32"/>
        </w:rPr>
        <w:t>〕</w:t>
      </w:r>
      <w:r>
        <w:rPr>
          <w:szCs w:val="32"/>
        </w:rPr>
        <w:t>1</w:t>
      </w:r>
      <w:r>
        <w:rPr>
          <w:szCs w:val="32"/>
        </w:rPr>
        <w:t>号）</w:t>
      </w:r>
      <w:r>
        <w:rPr>
          <w:rFonts w:ascii="Times New Roman Regular" w:hAnsi="Times New Roman Regular" w:cs="Times New Roman Regular"/>
          <w:szCs w:val="32"/>
        </w:rPr>
        <w:t>；</w:t>
      </w:r>
    </w:p>
    <w:p w:rsidR="00B373FD">
      <w:pPr>
        <w:numPr>
          <w:ilvl w:val="0"/>
          <w:numId w:val="7"/>
        </w:numPr>
        <w:ind w:firstLine="640" w:firstLineChars="200"/>
        <w:rPr>
          <w:rFonts w:ascii="Times New Roman Regular" w:hAnsi="Times New Roman Regular" w:cs="Times New Roman Regular"/>
          <w:szCs w:val="32"/>
        </w:rPr>
      </w:pPr>
      <w:r>
        <w:rPr>
          <w:rFonts w:ascii="Times New Roman Regular" w:hAnsi="Times New Roman Regular" w:cs="Times New Roman Regular"/>
          <w:szCs w:val="32"/>
        </w:rPr>
        <w:t>《全面加强生态环境保护坚决打好污染防治攻坚战的实施意见》</w:t>
      </w:r>
      <w:r>
        <w:rPr>
          <w:szCs w:val="32"/>
        </w:rPr>
        <w:t>（苏发〔</w:t>
      </w:r>
      <w:r>
        <w:rPr>
          <w:szCs w:val="32"/>
        </w:rPr>
        <w:t>2018</w:t>
      </w:r>
      <w:r>
        <w:rPr>
          <w:szCs w:val="32"/>
        </w:rPr>
        <w:t>〕</w:t>
      </w:r>
      <w:r>
        <w:rPr>
          <w:szCs w:val="32"/>
        </w:rPr>
        <w:t>24</w:t>
      </w:r>
      <w:r>
        <w:rPr>
          <w:szCs w:val="32"/>
        </w:rPr>
        <w:t>号）</w:t>
      </w:r>
      <w:r>
        <w:rPr>
          <w:rFonts w:ascii="Times New Roman Regular" w:hAnsi="Times New Roman Regular" w:cs="Times New Roman Regular"/>
          <w:szCs w:val="32"/>
        </w:rPr>
        <w:t>；</w:t>
      </w:r>
    </w:p>
    <w:p w:rsidR="00B373FD">
      <w:pPr>
        <w:numPr>
          <w:ilvl w:val="0"/>
          <w:numId w:val="7"/>
        </w:numPr>
        <w:ind w:firstLine="640" w:firstLineChars="200"/>
        <w:rPr>
          <w:rFonts w:ascii="Times New Roman Regular" w:hAnsi="Times New Roman Regular" w:cs="Times New Roman Regular"/>
          <w:szCs w:val="32"/>
        </w:rPr>
      </w:pPr>
      <w:r>
        <w:rPr>
          <w:rFonts w:ascii="Times New Roman Regular" w:hAnsi="Times New Roman Regular" w:cs="Times New Roman Regular"/>
          <w:szCs w:val="32"/>
        </w:rPr>
        <w:t>《江苏省长江保护修复攻坚战行动计划实施方案》</w:t>
      </w:r>
      <w:r>
        <w:rPr>
          <w:szCs w:val="32"/>
        </w:rPr>
        <w:t>（苏政办发〔</w:t>
      </w:r>
      <w:r>
        <w:rPr>
          <w:szCs w:val="32"/>
        </w:rPr>
        <w:t>2019</w:t>
      </w:r>
      <w:r>
        <w:rPr>
          <w:szCs w:val="32"/>
        </w:rPr>
        <w:t>〕</w:t>
      </w:r>
      <w:r>
        <w:rPr>
          <w:szCs w:val="32"/>
        </w:rPr>
        <w:t>52</w:t>
      </w:r>
      <w:r>
        <w:rPr>
          <w:szCs w:val="32"/>
        </w:rPr>
        <w:t>号）</w:t>
      </w:r>
      <w:r>
        <w:rPr>
          <w:rFonts w:ascii="Times New Roman Regular" w:hAnsi="Times New Roman Regular" w:cs="Times New Roman Regular"/>
          <w:szCs w:val="32"/>
        </w:rPr>
        <w:t>；</w:t>
      </w:r>
    </w:p>
    <w:p w:rsidR="00B373FD">
      <w:pPr>
        <w:numPr>
          <w:ilvl w:val="0"/>
          <w:numId w:val="7"/>
        </w:numPr>
        <w:ind w:firstLine="640" w:firstLineChars="200"/>
        <w:rPr>
          <w:rFonts w:ascii="Times New Roman Regular" w:hAnsi="Times New Roman Regular" w:cs="Times New Roman Regular"/>
          <w:szCs w:val="32"/>
        </w:rPr>
      </w:pPr>
      <w:r>
        <w:rPr>
          <w:rFonts w:ascii="Times New Roman Regular" w:hAnsi="Times New Roman Regular" w:cs="Times New Roman Regular"/>
          <w:szCs w:val="32"/>
        </w:rPr>
        <w:t>《江苏省城市黑臭水体治理攻坚战实施方案》</w:t>
      </w:r>
      <w:r>
        <w:rPr>
          <w:szCs w:val="32"/>
        </w:rPr>
        <w:t>（苏政办发〔</w:t>
      </w:r>
      <w:r>
        <w:rPr>
          <w:szCs w:val="32"/>
        </w:rPr>
        <w:t>2018</w:t>
      </w:r>
      <w:r>
        <w:rPr>
          <w:szCs w:val="32"/>
        </w:rPr>
        <w:t>〕</w:t>
      </w:r>
      <w:r>
        <w:rPr>
          <w:szCs w:val="32"/>
        </w:rPr>
        <w:t>106</w:t>
      </w:r>
      <w:r>
        <w:rPr>
          <w:szCs w:val="32"/>
        </w:rPr>
        <w:t>号）</w:t>
      </w:r>
      <w:r>
        <w:rPr>
          <w:rFonts w:ascii="Times New Roman Regular" w:hAnsi="Times New Roman Regular" w:cs="Times New Roman Regular"/>
          <w:szCs w:val="32"/>
        </w:rPr>
        <w:t>；</w:t>
      </w:r>
    </w:p>
    <w:p w:rsidR="00B373FD">
      <w:pPr>
        <w:numPr>
          <w:ilvl w:val="0"/>
          <w:numId w:val="7"/>
        </w:numPr>
        <w:ind w:firstLine="640" w:firstLineChars="200"/>
        <w:rPr>
          <w:rFonts w:ascii="Times New Roman Regular" w:hAnsi="Times New Roman Regular" w:cs="Times New Roman Regular"/>
          <w:szCs w:val="32"/>
        </w:rPr>
      </w:pPr>
      <w:r>
        <w:rPr>
          <w:rFonts w:ascii="Times New Roman Regular" w:hAnsi="Times New Roman Regular" w:cs="Times New Roman Regular"/>
          <w:szCs w:val="32"/>
        </w:rPr>
        <w:t>《江苏省城市集中式饮用水水源地保护攻坚战实施方案》</w:t>
      </w:r>
      <w:r>
        <w:rPr>
          <w:szCs w:val="32"/>
        </w:rPr>
        <w:t>（苏政办发〔</w:t>
      </w:r>
      <w:r>
        <w:rPr>
          <w:szCs w:val="32"/>
        </w:rPr>
        <w:t>2018</w:t>
      </w:r>
      <w:r>
        <w:rPr>
          <w:szCs w:val="32"/>
        </w:rPr>
        <w:t>〕</w:t>
      </w:r>
      <w:r>
        <w:rPr>
          <w:szCs w:val="32"/>
        </w:rPr>
        <w:t>107</w:t>
      </w:r>
      <w:r>
        <w:rPr>
          <w:szCs w:val="32"/>
        </w:rPr>
        <w:t>号）</w:t>
      </w:r>
      <w:r>
        <w:rPr>
          <w:rFonts w:ascii="Times New Roman Regular" w:hAnsi="Times New Roman Regular" w:cs="Times New Roman Regular"/>
          <w:szCs w:val="32"/>
        </w:rPr>
        <w:t>；</w:t>
      </w:r>
    </w:p>
    <w:p w:rsidR="00B373FD">
      <w:pPr>
        <w:numPr>
          <w:ilvl w:val="0"/>
          <w:numId w:val="7"/>
        </w:numPr>
        <w:ind w:firstLine="640" w:firstLineChars="200"/>
        <w:rPr>
          <w:rFonts w:ascii="Times New Roman Regular" w:hAnsi="Times New Roman Regular" w:cs="Times New Roman Regular"/>
          <w:szCs w:val="32"/>
        </w:rPr>
      </w:pPr>
      <w:r>
        <w:rPr>
          <w:rFonts w:ascii="Times New Roman Regular" w:hAnsi="Times New Roman Regular" w:cs="Times New Roman Regular"/>
          <w:szCs w:val="32"/>
        </w:rPr>
        <w:t>《江苏省生态河湖状况评价规范》；</w:t>
      </w:r>
    </w:p>
    <w:p w:rsidR="00B373FD">
      <w:pPr>
        <w:numPr>
          <w:ilvl w:val="0"/>
          <w:numId w:val="7"/>
        </w:numPr>
        <w:ind w:firstLine="640" w:firstLineChars="200"/>
        <w:rPr>
          <w:rFonts w:ascii="Times New Roman Regular" w:hAnsi="Times New Roman Regular" w:cs="Times New Roman Regular"/>
        </w:rPr>
      </w:pPr>
      <w:r>
        <w:rPr>
          <w:rFonts w:ascii="Times New Roman Regular" w:hAnsi="Times New Roman Regular" w:cs="Times New Roman Regular"/>
          <w:szCs w:val="32"/>
        </w:rPr>
        <w:t>《江苏省农村生活污水治理提升行动方案的通知》</w:t>
      </w:r>
      <w:r>
        <w:rPr>
          <w:szCs w:val="32"/>
        </w:rPr>
        <w:t>（苏政办发〔</w:t>
      </w:r>
      <w:r>
        <w:rPr>
          <w:szCs w:val="32"/>
        </w:rPr>
        <w:t>2020</w:t>
      </w:r>
      <w:r>
        <w:rPr>
          <w:szCs w:val="32"/>
        </w:rPr>
        <w:t>〕</w:t>
      </w:r>
      <w:r>
        <w:rPr>
          <w:szCs w:val="32"/>
        </w:rPr>
        <w:t>38</w:t>
      </w:r>
      <w:r>
        <w:rPr>
          <w:szCs w:val="32"/>
        </w:rPr>
        <w:t>号）</w:t>
      </w:r>
      <w:r>
        <w:rPr>
          <w:rFonts w:ascii="Times New Roman Regular" w:hAnsi="Times New Roman Regular" w:cs="Times New Roman Regular"/>
          <w:szCs w:val="32"/>
        </w:rPr>
        <w:t>；</w:t>
      </w:r>
    </w:p>
    <w:p w:rsidR="00B373FD">
      <w:pPr>
        <w:numPr>
          <w:ilvl w:val="0"/>
          <w:numId w:val="7"/>
        </w:numPr>
        <w:tabs>
          <w:tab w:val="left" w:pos="0"/>
        </w:tabs>
        <w:ind w:firstLine="640" w:firstLineChars="200"/>
        <w:rPr>
          <w:rFonts w:ascii="Times New Roman Regular" w:hAnsi="Times New Roman Regular" w:cs="Times New Roman Regular"/>
        </w:rPr>
      </w:pPr>
      <w:r>
        <w:rPr>
          <w:rFonts w:ascii="Times New Roman Regular" w:hAnsi="Times New Roman Regular" w:cs="Times New Roman Regular"/>
          <w:szCs w:val="32"/>
        </w:rPr>
        <w:t>《省政府关于印发江苏省国民经济和社会发展第十四个五年规划和二</w:t>
      </w:r>
      <w:r w:rsidRPr="00993048" w:rsidR="00323A1C">
        <w:rPr>
          <w:szCs w:val="32"/>
        </w:rPr>
        <w:t>O</w:t>
      </w:r>
      <w:r>
        <w:rPr>
          <w:rFonts w:ascii="Times New Roman Regular" w:hAnsi="Times New Roman Regular" w:cs="Times New Roman Regular"/>
          <w:szCs w:val="32"/>
        </w:rPr>
        <w:t>三五年远景目标纲要的通知》</w:t>
      </w:r>
      <w:r>
        <w:rPr>
          <w:rFonts w:hint="eastAsia"/>
          <w:szCs w:val="32"/>
        </w:rPr>
        <w:t>（</w:t>
      </w:r>
      <w:r>
        <w:rPr>
          <w:szCs w:val="32"/>
        </w:rPr>
        <w:t>苏办发〔</w:t>
      </w:r>
      <w:r>
        <w:rPr>
          <w:szCs w:val="32"/>
        </w:rPr>
        <w:t>2021</w:t>
      </w:r>
      <w:r>
        <w:rPr>
          <w:szCs w:val="32"/>
        </w:rPr>
        <w:t>〕</w:t>
      </w:r>
      <w:r>
        <w:rPr>
          <w:szCs w:val="32"/>
        </w:rPr>
        <w:t>18</w:t>
      </w:r>
      <w:r>
        <w:rPr>
          <w:szCs w:val="32"/>
        </w:rPr>
        <w:t>号</w:t>
      </w:r>
      <w:r>
        <w:rPr>
          <w:rFonts w:hint="eastAsia"/>
          <w:szCs w:val="32"/>
        </w:rPr>
        <w:t>）</w:t>
      </w:r>
      <w:r>
        <w:rPr>
          <w:rFonts w:ascii="Times New Roman Regular" w:hAnsi="Times New Roman Regular" w:cs="Times New Roman Regular"/>
          <w:szCs w:val="32"/>
        </w:rPr>
        <w:t>；</w:t>
      </w:r>
    </w:p>
    <w:p w:rsidR="00B373FD">
      <w:pPr>
        <w:numPr>
          <w:ilvl w:val="0"/>
          <w:numId w:val="7"/>
        </w:numPr>
        <w:tabs>
          <w:tab w:val="left" w:pos="0"/>
        </w:tabs>
        <w:ind w:firstLine="640" w:firstLineChars="200"/>
        <w:rPr>
          <w:rFonts w:ascii="Times New Roman Regular" w:hAnsi="Times New Roman Regular" w:cs="Times New Roman Regular"/>
          <w:szCs w:val="32"/>
        </w:rPr>
      </w:pPr>
      <w:r>
        <w:rPr>
          <w:rFonts w:ascii="Times New Roman Regular" w:hAnsi="Times New Roman Regular" w:cs="Times New Roman Regular"/>
          <w:szCs w:val="32"/>
        </w:rPr>
        <w:t>《省政府关于推进绿色产业发展的意见》</w:t>
      </w:r>
      <w:r>
        <w:rPr>
          <w:rFonts w:hint="eastAsia"/>
          <w:szCs w:val="32"/>
        </w:rPr>
        <w:t>（苏政发〔</w:t>
      </w:r>
      <w:r>
        <w:rPr>
          <w:rFonts w:hint="eastAsia"/>
          <w:szCs w:val="32"/>
        </w:rPr>
        <w:t>2020</w:t>
      </w:r>
      <w:r>
        <w:rPr>
          <w:rFonts w:hint="eastAsia"/>
          <w:szCs w:val="32"/>
        </w:rPr>
        <w:t>〕</w:t>
      </w:r>
      <w:r>
        <w:rPr>
          <w:rFonts w:hint="eastAsia"/>
          <w:szCs w:val="32"/>
        </w:rPr>
        <w:t>28</w:t>
      </w:r>
      <w:r>
        <w:rPr>
          <w:rFonts w:hint="eastAsia"/>
          <w:szCs w:val="32"/>
        </w:rPr>
        <w:t>号）</w:t>
      </w:r>
      <w:r>
        <w:rPr>
          <w:rFonts w:ascii="Times New Roman Regular" w:hAnsi="Times New Roman Regular" w:cs="Times New Roman Regular"/>
          <w:szCs w:val="32"/>
        </w:rPr>
        <w:t>。</w:t>
      </w:r>
    </w:p>
    <w:p w:rsidR="00B373FD">
      <w:pPr>
        <w:pStyle w:val="Heading3"/>
        <w:numPr>
          <w:ilvl w:val="2"/>
          <w:numId w:val="4"/>
        </w:numPr>
        <w:rPr>
          <w:rFonts w:ascii="Times New Roman Regular" w:hAnsi="Times New Roman Regular" w:cs="Times New Roman Regular"/>
        </w:rPr>
      </w:pPr>
      <w:r>
        <w:rPr>
          <w:rFonts w:ascii="Times New Roman Regular" w:hAnsi="Times New Roman Regular" w:cs="Times New Roman Regular"/>
        </w:rPr>
        <w:t>苏州市相关法规、政策、规划</w:t>
      </w:r>
    </w:p>
    <w:p w:rsidR="00B373FD">
      <w:pPr>
        <w:numPr>
          <w:ilvl w:val="0"/>
          <w:numId w:val="8"/>
        </w:numPr>
        <w:adjustRightInd w:val="0"/>
        <w:snapToGrid w:val="0"/>
        <w:ind w:firstLine="640" w:firstLineChars="200"/>
        <w:rPr>
          <w:rFonts w:ascii="Times New Roman Regular" w:hAnsi="Times New Roman Regular" w:cs="Times New Roman Regular"/>
        </w:rPr>
      </w:pPr>
      <w:r>
        <w:rPr>
          <w:rFonts w:ascii="Times New Roman Regular" w:hAnsi="Times New Roman Regular" w:cs="Times New Roman Regular"/>
        </w:rPr>
        <w:t>《苏州市河道管理条例》；</w:t>
      </w:r>
    </w:p>
    <w:p w:rsidR="00B373FD">
      <w:pPr>
        <w:numPr>
          <w:ilvl w:val="0"/>
          <w:numId w:val="8"/>
        </w:numPr>
        <w:adjustRightInd w:val="0"/>
        <w:snapToGrid w:val="0"/>
        <w:ind w:firstLine="640" w:firstLineChars="200"/>
        <w:rPr>
          <w:rFonts w:ascii="Times New Roman Regular" w:hAnsi="Times New Roman Regular" w:cs="Times New Roman Regular"/>
        </w:rPr>
      </w:pPr>
      <w:r>
        <w:rPr>
          <w:rFonts w:ascii="Times New Roman Regular" w:hAnsi="Times New Roman Regular" w:cs="Times New Roman Regular"/>
        </w:rPr>
        <w:t>《苏州市湿地保护条例》；</w:t>
      </w:r>
    </w:p>
    <w:p w:rsidR="00B373FD">
      <w:pPr>
        <w:numPr>
          <w:ilvl w:val="0"/>
          <w:numId w:val="8"/>
        </w:numPr>
        <w:adjustRightInd w:val="0"/>
        <w:snapToGrid w:val="0"/>
        <w:ind w:firstLine="640" w:firstLineChars="200"/>
        <w:rPr>
          <w:rFonts w:ascii="Times New Roman Regular" w:hAnsi="Times New Roman Regular" w:cs="Times New Roman Regular"/>
        </w:rPr>
      </w:pPr>
      <w:r>
        <w:rPr>
          <w:rFonts w:ascii="Times New Roman Regular" w:hAnsi="Times New Roman Regular" w:cs="Times New Roman Regular"/>
        </w:rPr>
        <w:t>《苏州市国民经济和社会发展第十四个五年规划纲要》；</w:t>
      </w:r>
    </w:p>
    <w:p w:rsidR="00B373FD">
      <w:pPr>
        <w:numPr>
          <w:ilvl w:val="0"/>
          <w:numId w:val="8"/>
        </w:numPr>
        <w:adjustRightInd w:val="0"/>
        <w:snapToGrid w:val="0"/>
        <w:ind w:firstLine="640" w:firstLineChars="200"/>
        <w:rPr>
          <w:rFonts w:ascii="Times New Roman Regular" w:hAnsi="Times New Roman Regular" w:cs="Times New Roman Regular"/>
        </w:rPr>
      </w:pPr>
      <w:r>
        <w:rPr>
          <w:rFonts w:ascii="Times New Roman Regular" w:hAnsi="Times New Roman Regular" w:cs="Times New Roman Regular"/>
        </w:rPr>
        <w:t>《中共苏州市委苏州市人民政府关于推进美丽苏州建设的实施意见》</w:t>
      </w:r>
      <w:r>
        <w:rPr>
          <w:rFonts w:hint="eastAsia"/>
        </w:rPr>
        <w:t>（苏委发〔</w:t>
      </w:r>
      <w:r>
        <w:rPr>
          <w:rFonts w:hint="eastAsia"/>
        </w:rPr>
        <w:t>2020</w:t>
      </w:r>
      <w:r>
        <w:rPr>
          <w:rFonts w:hint="eastAsia"/>
        </w:rPr>
        <w:t>〕</w:t>
      </w:r>
      <w:r>
        <w:rPr>
          <w:rFonts w:hint="eastAsia"/>
        </w:rPr>
        <w:t>22</w:t>
      </w:r>
      <w:r>
        <w:rPr>
          <w:rFonts w:hint="eastAsia"/>
        </w:rPr>
        <w:t>号）</w:t>
      </w:r>
      <w:r>
        <w:rPr>
          <w:rFonts w:ascii="Times New Roman Regular" w:hAnsi="Times New Roman Regular" w:cs="Times New Roman Regular"/>
        </w:rPr>
        <w:t>；</w:t>
      </w:r>
    </w:p>
    <w:p w:rsidR="00B373FD">
      <w:pPr>
        <w:numPr>
          <w:ilvl w:val="0"/>
          <w:numId w:val="8"/>
        </w:numPr>
        <w:adjustRightInd w:val="0"/>
        <w:snapToGrid w:val="0"/>
        <w:ind w:firstLine="640" w:firstLineChars="200"/>
        <w:rPr>
          <w:rFonts w:ascii="Times New Roman Regular" w:hAnsi="Times New Roman Regular" w:cs="Times New Roman Regular"/>
        </w:rPr>
      </w:pPr>
      <w:r>
        <w:rPr>
          <w:rFonts w:ascii="Times New Roman Regular" w:hAnsi="Times New Roman Regular" w:cs="Times New Roman Regular"/>
        </w:rPr>
        <w:t>《苏州市长江保护修复攻坚战计划工作方案》</w:t>
      </w:r>
      <w:r>
        <w:rPr>
          <w:rFonts w:hint="eastAsia"/>
        </w:rPr>
        <w:t>（苏府办〔</w:t>
      </w:r>
      <w:r>
        <w:rPr>
          <w:rFonts w:hint="eastAsia"/>
        </w:rPr>
        <w:t>2019</w:t>
      </w:r>
      <w:r>
        <w:rPr>
          <w:rFonts w:hint="eastAsia"/>
        </w:rPr>
        <w:t>〕</w:t>
      </w:r>
      <w:r>
        <w:rPr>
          <w:rFonts w:hint="eastAsia"/>
        </w:rPr>
        <w:t>160</w:t>
      </w:r>
      <w:r>
        <w:rPr>
          <w:rFonts w:hint="eastAsia"/>
        </w:rPr>
        <w:t>号）</w:t>
      </w:r>
      <w:r>
        <w:rPr>
          <w:rFonts w:ascii="Times New Roman Regular" w:hAnsi="Times New Roman Regular" w:cs="Times New Roman Regular"/>
        </w:rPr>
        <w:t>；</w:t>
      </w:r>
    </w:p>
    <w:p w:rsidR="00B373FD">
      <w:pPr>
        <w:numPr>
          <w:ilvl w:val="0"/>
          <w:numId w:val="8"/>
        </w:numPr>
        <w:adjustRightInd w:val="0"/>
        <w:snapToGrid w:val="0"/>
        <w:ind w:firstLine="640" w:firstLineChars="200"/>
        <w:rPr>
          <w:rFonts w:ascii="Times New Roman Regular" w:hAnsi="Times New Roman Regular" w:cs="Times New Roman Regular"/>
        </w:rPr>
      </w:pPr>
      <w:r>
        <w:rPr>
          <w:rFonts w:ascii="Times New Roman Regular" w:hAnsi="Times New Roman Regular" w:cs="Times New Roman Regular"/>
        </w:rPr>
        <w:t>《苏州市打好太湖治理攻坚战实施方案》</w:t>
      </w:r>
      <w:r>
        <w:rPr>
          <w:rFonts w:hint="eastAsia"/>
        </w:rPr>
        <w:t>（苏府办〔</w:t>
      </w:r>
      <w:r>
        <w:rPr>
          <w:rFonts w:hint="eastAsia"/>
        </w:rPr>
        <w:t>2019</w:t>
      </w:r>
      <w:r>
        <w:rPr>
          <w:rFonts w:hint="eastAsia"/>
        </w:rPr>
        <w:t>〕</w:t>
      </w:r>
      <w:r>
        <w:rPr>
          <w:rFonts w:hint="eastAsia"/>
        </w:rPr>
        <w:t>120</w:t>
      </w:r>
      <w:r>
        <w:rPr>
          <w:rFonts w:hint="eastAsia"/>
        </w:rPr>
        <w:t>号）</w:t>
      </w:r>
      <w:r>
        <w:rPr>
          <w:rFonts w:ascii="Times New Roman Regular" w:hAnsi="Times New Roman Regular" w:cs="Times New Roman Regular"/>
        </w:rPr>
        <w:t>；</w:t>
      </w:r>
    </w:p>
    <w:p w:rsidR="00B373FD">
      <w:pPr>
        <w:numPr>
          <w:ilvl w:val="0"/>
          <w:numId w:val="8"/>
        </w:numPr>
        <w:adjustRightInd w:val="0"/>
        <w:snapToGrid w:val="0"/>
        <w:ind w:firstLine="640" w:firstLineChars="200"/>
        <w:rPr>
          <w:rFonts w:ascii="Times New Roman Regular" w:hAnsi="Times New Roman Regular" w:cs="Times New Roman Regular"/>
        </w:rPr>
      </w:pPr>
      <w:r>
        <w:rPr>
          <w:rFonts w:ascii="Times New Roman Regular" w:hAnsi="Times New Roman Regular" w:cs="Times New Roman Regular"/>
        </w:rPr>
        <w:t>《苏州市农业农村污染治理攻坚战实施方案》</w:t>
      </w:r>
      <w:r>
        <w:rPr>
          <w:rFonts w:hint="eastAsia"/>
        </w:rPr>
        <w:t>（苏环办字〔</w:t>
      </w:r>
      <w:r>
        <w:rPr>
          <w:rFonts w:hint="eastAsia"/>
        </w:rPr>
        <w:t>2020</w:t>
      </w:r>
      <w:r>
        <w:rPr>
          <w:rFonts w:hint="eastAsia"/>
        </w:rPr>
        <w:t>〕</w:t>
      </w:r>
      <w:r>
        <w:rPr>
          <w:rFonts w:hint="eastAsia"/>
        </w:rPr>
        <w:t>18</w:t>
      </w:r>
      <w:r>
        <w:rPr>
          <w:rFonts w:hint="eastAsia"/>
        </w:rPr>
        <w:t>号）</w:t>
      </w:r>
      <w:r>
        <w:rPr>
          <w:rFonts w:ascii="Times New Roman Regular" w:hAnsi="Times New Roman Regular" w:cs="Times New Roman Regular"/>
        </w:rPr>
        <w:t>；</w:t>
      </w:r>
    </w:p>
    <w:p w:rsidR="00B373FD">
      <w:pPr>
        <w:numPr>
          <w:ilvl w:val="0"/>
          <w:numId w:val="8"/>
        </w:numPr>
        <w:adjustRightInd w:val="0"/>
        <w:snapToGrid w:val="0"/>
        <w:ind w:firstLine="640" w:firstLineChars="200"/>
        <w:rPr>
          <w:rFonts w:ascii="Times New Roman Regular" w:hAnsi="Times New Roman Regular" w:cs="Times New Roman Regular"/>
        </w:rPr>
      </w:pPr>
      <w:r>
        <w:rPr>
          <w:rFonts w:ascii="Times New Roman Regular" w:hAnsi="Times New Roman Regular" w:cs="Times New Roman Regular"/>
        </w:rPr>
        <w:t>《苏州市土壤污染防治行动计划》</w:t>
      </w:r>
      <w:r>
        <w:rPr>
          <w:rFonts w:hint="eastAsia"/>
        </w:rPr>
        <w:t>（苏府〔</w:t>
      </w:r>
      <w:r>
        <w:rPr>
          <w:rFonts w:hint="eastAsia"/>
        </w:rPr>
        <w:t>2017</w:t>
      </w:r>
      <w:r>
        <w:rPr>
          <w:rFonts w:hint="eastAsia"/>
        </w:rPr>
        <w:t>〕</w:t>
      </w:r>
      <w:r>
        <w:rPr>
          <w:rFonts w:hint="eastAsia"/>
        </w:rPr>
        <w:t>102</w:t>
      </w:r>
      <w:r>
        <w:rPr>
          <w:rFonts w:hint="eastAsia"/>
        </w:rPr>
        <w:t>号）</w:t>
      </w:r>
      <w:r>
        <w:rPr>
          <w:rFonts w:ascii="Times New Roman Regular" w:hAnsi="Times New Roman Regular" w:cs="Times New Roman Regular"/>
        </w:rPr>
        <w:t>；</w:t>
      </w:r>
    </w:p>
    <w:p w:rsidR="00B373FD">
      <w:pPr>
        <w:numPr>
          <w:ilvl w:val="0"/>
          <w:numId w:val="8"/>
        </w:numPr>
        <w:adjustRightInd w:val="0"/>
        <w:snapToGrid w:val="0"/>
        <w:ind w:firstLine="640" w:firstLineChars="200"/>
        <w:rPr>
          <w:rFonts w:ascii="Times New Roman Regular" w:hAnsi="Times New Roman Regular" w:cs="Times New Roman Regular"/>
        </w:rPr>
      </w:pPr>
      <w:r>
        <w:rPr>
          <w:rFonts w:ascii="Times New Roman Regular" w:hAnsi="Times New Roman Regular" w:cs="Times New Roman Regular"/>
        </w:rPr>
        <w:t>《苏州市饮用水水源地安全保障</w:t>
      </w:r>
      <w:r>
        <w:rPr>
          <w:rFonts w:ascii="Times New Roman Regular" w:hAnsi="Times New Roman Regular" w:cs="Times New Roman Regular"/>
        </w:rPr>
        <w:t>（</w:t>
      </w:r>
      <w:r>
        <w:rPr>
          <w:rFonts w:ascii="Times New Roman Regular" w:hAnsi="Times New Roman Regular" w:cs="Times New Roman Regular"/>
        </w:rPr>
        <w:t>2018-2035</w:t>
      </w:r>
      <w:r>
        <w:rPr>
          <w:rFonts w:ascii="Times New Roman Regular" w:hAnsi="Times New Roman Regular" w:cs="Times New Roman Regular"/>
        </w:rPr>
        <w:t>）》；</w:t>
      </w:r>
    </w:p>
    <w:p w:rsidR="00B373FD">
      <w:pPr>
        <w:numPr>
          <w:ilvl w:val="0"/>
          <w:numId w:val="8"/>
        </w:numPr>
        <w:adjustRightInd w:val="0"/>
        <w:snapToGrid w:val="0"/>
        <w:ind w:firstLine="640" w:firstLineChars="200"/>
        <w:rPr>
          <w:rFonts w:ascii="Times New Roman Regular" w:hAnsi="Times New Roman Regular" w:cs="Times New Roman Regular"/>
        </w:rPr>
      </w:pPr>
      <w:r>
        <w:rPr>
          <w:rFonts w:ascii="Times New Roman Regular" w:hAnsi="Times New Roman Regular" w:cs="Times New Roman Regular"/>
        </w:rPr>
        <w:t>《</w:t>
      </w:r>
      <w:r w:rsidR="006D2978">
        <w:rPr>
          <w:rFonts w:ascii="Times New Roman Regular" w:hAnsi="Times New Roman Regular" w:cs="Times New Roman Regular"/>
        </w:rPr>
        <w:t>苏州市</w:t>
      </w:r>
      <w:r>
        <w:rPr>
          <w:rFonts w:ascii="Times New Roman Regular" w:hAnsi="Times New Roman Regular" w:cs="Times New Roman Regular"/>
        </w:rPr>
        <w:t>“</w:t>
      </w:r>
      <w:r>
        <w:rPr>
          <w:rFonts w:ascii="Times New Roman Regular" w:hAnsi="Times New Roman Regular" w:cs="Times New Roman Regular"/>
        </w:rPr>
        <w:t>十四五</w:t>
      </w:r>
      <w:r>
        <w:rPr>
          <w:rFonts w:ascii="Times New Roman Regular" w:hAnsi="Times New Roman Regular" w:cs="Times New Roman Regular"/>
        </w:rPr>
        <w:t>”</w:t>
      </w:r>
      <w:r>
        <w:rPr>
          <w:rFonts w:ascii="Times New Roman Regular" w:hAnsi="Times New Roman Regular" w:cs="Times New Roman Regular"/>
        </w:rPr>
        <w:t>生态环境保护</w:t>
      </w:r>
      <w:r>
        <w:rPr>
          <w:rFonts w:ascii="Times New Roman Regular" w:hAnsi="Times New Roman Regular" w:cs="Times New Roman Regular" w:hint="eastAsia"/>
        </w:rPr>
        <w:t>规划</w:t>
      </w:r>
      <w:r>
        <w:rPr>
          <w:rFonts w:ascii="Times New Roman Regular" w:hAnsi="Times New Roman Regular" w:cs="Times New Roman Regular"/>
        </w:rPr>
        <w:t>》</w:t>
      </w:r>
      <w:r>
        <w:rPr>
          <w:rFonts w:ascii="Times New Roman Regular" w:hAnsi="Times New Roman Regular" w:cs="Times New Roman Regular" w:hint="eastAsia"/>
        </w:rPr>
        <w:t>（征求意见稿）</w:t>
      </w:r>
      <w:r>
        <w:rPr>
          <w:rFonts w:ascii="Times New Roman Regular" w:hAnsi="Times New Roman Regular" w:cs="Times New Roman Regular"/>
        </w:rPr>
        <w:t>；</w:t>
      </w:r>
    </w:p>
    <w:p w:rsidR="00B373FD">
      <w:pPr>
        <w:numPr>
          <w:ilvl w:val="0"/>
          <w:numId w:val="8"/>
        </w:numPr>
        <w:adjustRightInd w:val="0"/>
        <w:snapToGrid w:val="0"/>
        <w:ind w:firstLine="640" w:firstLineChars="200"/>
        <w:rPr>
          <w:rFonts w:ascii="Times New Roman Regular" w:hAnsi="Times New Roman Regular" w:cs="Times New Roman Regular"/>
          <w:szCs w:val="32"/>
        </w:rPr>
      </w:pPr>
      <w:r>
        <w:rPr>
          <w:rFonts w:ascii="Times New Roman Regular" w:hAnsi="Times New Roman Regular" w:cs="Times New Roman Regular"/>
          <w:szCs w:val="32"/>
        </w:rPr>
        <w:t>《中共苏州市委关于制定苏州市国民经济和社会发展第十四个五年规划和二</w:t>
      </w:r>
      <w:r w:rsidRPr="00993048" w:rsidR="00323A1C">
        <w:rPr>
          <w:szCs w:val="32"/>
        </w:rPr>
        <w:t>O</w:t>
      </w:r>
      <w:r>
        <w:rPr>
          <w:rFonts w:ascii="Times New Roman Regular" w:hAnsi="Times New Roman Regular" w:cs="Times New Roman Regular"/>
          <w:szCs w:val="32"/>
        </w:rPr>
        <w:t>三五年远景目标的建议》</w:t>
      </w:r>
      <w:r>
        <w:rPr>
          <w:rFonts w:hint="eastAsia"/>
          <w:szCs w:val="32"/>
        </w:rPr>
        <w:t>（苏委发</w:t>
      </w:r>
      <w:r>
        <w:rPr>
          <w:szCs w:val="32"/>
        </w:rPr>
        <w:t>〔</w:t>
      </w:r>
      <w:r>
        <w:rPr>
          <w:szCs w:val="32"/>
        </w:rPr>
        <w:t>2021</w:t>
      </w:r>
      <w:r>
        <w:rPr>
          <w:szCs w:val="32"/>
        </w:rPr>
        <w:t>〕</w:t>
      </w:r>
      <w:r>
        <w:rPr>
          <w:szCs w:val="32"/>
        </w:rPr>
        <w:t>2</w:t>
      </w:r>
      <w:r>
        <w:rPr>
          <w:szCs w:val="32"/>
        </w:rPr>
        <w:t>号</w:t>
      </w:r>
      <w:r>
        <w:rPr>
          <w:rFonts w:hint="eastAsia"/>
          <w:szCs w:val="32"/>
        </w:rPr>
        <w:t>）</w:t>
      </w:r>
      <w:r>
        <w:rPr>
          <w:rFonts w:ascii="Times New Roman Regular" w:hAnsi="Times New Roman Regular" w:cs="Times New Roman Regular"/>
          <w:szCs w:val="32"/>
        </w:rPr>
        <w:t>；</w:t>
      </w:r>
    </w:p>
    <w:p w:rsidR="00B373FD">
      <w:pPr>
        <w:numPr>
          <w:ilvl w:val="0"/>
          <w:numId w:val="8"/>
        </w:numPr>
        <w:adjustRightInd w:val="0"/>
        <w:snapToGrid w:val="0"/>
        <w:ind w:firstLine="640" w:firstLineChars="200"/>
        <w:rPr>
          <w:rFonts w:ascii="Times New Roman Regular" w:hAnsi="Times New Roman Regular" w:cs="Times New Roman Regular"/>
        </w:rPr>
      </w:pPr>
      <w:r>
        <w:rPr>
          <w:rFonts w:ascii="Times New Roman Regular" w:hAnsi="Times New Roman Regular" w:cs="Times New Roman Regular"/>
          <w:szCs w:val="32"/>
        </w:rPr>
        <w:t>《苏州市国民经济和社会发展第十四个五年规划和二</w:t>
      </w:r>
      <w:r w:rsidRPr="00956BFF" w:rsidR="00323A1C">
        <w:rPr>
          <w:szCs w:val="32"/>
        </w:rPr>
        <w:t>O</w:t>
      </w:r>
      <w:r>
        <w:rPr>
          <w:rFonts w:ascii="Times New Roman Regular" w:hAnsi="Times New Roman Regular" w:cs="Times New Roman Regular"/>
          <w:szCs w:val="32"/>
        </w:rPr>
        <w:t>三五年远景目标纲要》</w:t>
      </w:r>
      <w:r>
        <w:rPr>
          <w:rFonts w:hint="eastAsia"/>
          <w:szCs w:val="32"/>
        </w:rPr>
        <w:t>（</w:t>
      </w:r>
      <w:r>
        <w:rPr>
          <w:rFonts w:hint="eastAsia"/>
          <w:szCs w:val="32"/>
        </w:rPr>
        <w:t>2</w:t>
      </w:r>
      <w:r>
        <w:rPr>
          <w:szCs w:val="32"/>
        </w:rPr>
        <w:t>021</w:t>
      </w:r>
      <w:r>
        <w:rPr>
          <w:szCs w:val="32"/>
        </w:rPr>
        <w:t>年</w:t>
      </w:r>
      <w:r>
        <w:rPr>
          <w:rFonts w:hint="eastAsia"/>
          <w:szCs w:val="32"/>
        </w:rPr>
        <w:t>1</w:t>
      </w:r>
      <w:r>
        <w:rPr>
          <w:rFonts w:hint="eastAsia"/>
          <w:szCs w:val="32"/>
        </w:rPr>
        <w:t>月</w:t>
      </w:r>
      <w:r>
        <w:rPr>
          <w:rFonts w:hint="eastAsia"/>
          <w:szCs w:val="32"/>
        </w:rPr>
        <w:t>2</w:t>
      </w:r>
      <w:r>
        <w:rPr>
          <w:szCs w:val="32"/>
        </w:rPr>
        <w:t>2</w:t>
      </w:r>
      <w:r>
        <w:rPr>
          <w:szCs w:val="32"/>
        </w:rPr>
        <w:t>日市十六届人大五次会议审议通过</w:t>
      </w:r>
      <w:r>
        <w:rPr>
          <w:rFonts w:hint="eastAsia"/>
          <w:szCs w:val="32"/>
        </w:rPr>
        <w:t>）。</w:t>
      </w:r>
    </w:p>
    <w:p w:rsidR="00B373FD">
      <w:pPr>
        <w:pStyle w:val="Heading3"/>
        <w:numPr>
          <w:ilvl w:val="2"/>
          <w:numId w:val="4"/>
        </w:numPr>
        <w:rPr>
          <w:rFonts w:ascii="Times New Roman Regular" w:hAnsi="Times New Roman Regular" w:cs="Times New Roman Regular"/>
        </w:rPr>
      </w:pPr>
      <w:r>
        <w:rPr>
          <w:rFonts w:ascii="Times New Roman Regular" w:hAnsi="Times New Roman Regular" w:cs="Times New Roman Regular"/>
        </w:rPr>
        <w:t>太仓市层面相关政策、规划</w:t>
      </w:r>
    </w:p>
    <w:p w:rsidR="00B373FD">
      <w:pPr>
        <w:numPr>
          <w:ilvl w:val="0"/>
          <w:numId w:val="9"/>
        </w:numPr>
        <w:adjustRightInd w:val="0"/>
        <w:snapToGrid w:val="0"/>
        <w:ind w:firstLine="640" w:firstLineChars="200"/>
        <w:rPr>
          <w:rFonts w:ascii="Times New Roman Regular" w:hAnsi="Times New Roman Regular" w:cs="Times New Roman Regular"/>
        </w:rPr>
      </w:pPr>
      <w:r>
        <w:rPr>
          <w:rFonts w:ascii="Times New Roman Regular" w:hAnsi="Times New Roman Regular" w:cs="Times New Roman Regular"/>
        </w:rPr>
        <w:t>《长三角一体化背景下太仓发展战略研究》；</w:t>
      </w:r>
    </w:p>
    <w:p w:rsidR="00B373FD">
      <w:pPr>
        <w:numPr>
          <w:ilvl w:val="0"/>
          <w:numId w:val="9"/>
        </w:numPr>
        <w:adjustRightInd w:val="0"/>
        <w:snapToGrid w:val="0"/>
        <w:ind w:firstLine="640" w:firstLineChars="200"/>
        <w:rPr>
          <w:rFonts w:ascii="Times New Roman Regular" w:hAnsi="Times New Roman Regular" w:cs="Times New Roman Regular"/>
        </w:rPr>
      </w:pPr>
      <w:r>
        <w:rPr>
          <w:rFonts w:ascii="Times New Roman Regular" w:hAnsi="Times New Roman Regular" w:cs="Times New Roman Regular"/>
        </w:rPr>
        <w:t>《太仓建设长三角交通枢纽型节点城市发展战略研究》；</w:t>
      </w:r>
    </w:p>
    <w:p w:rsidR="00B373FD">
      <w:pPr>
        <w:numPr>
          <w:ilvl w:val="0"/>
          <w:numId w:val="9"/>
        </w:numPr>
        <w:adjustRightInd w:val="0"/>
        <w:snapToGrid w:val="0"/>
        <w:ind w:firstLine="640" w:firstLineChars="200"/>
        <w:rPr>
          <w:rFonts w:ascii="Times New Roman Regular" w:hAnsi="Times New Roman Regular" w:cs="Times New Roman Regular"/>
        </w:rPr>
      </w:pPr>
      <w:r>
        <w:rPr>
          <w:rFonts w:ascii="Times New Roman Regular" w:hAnsi="Times New Roman Regular" w:cs="Times New Roman Regular"/>
        </w:rPr>
        <w:t>《太仓市城镇污水处理专项规划修编（</w:t>
      </w:r>
      <w:r>
        <w:rPr>
          <w:rFonts w:ascii="Times New Roman Regular" w:hAnsi="Times New Roman Regular" w:cs="Times New Roman Regular"/>
        </w:rPr>
        <w:t xml:space="preserve">2018-2035 </w:t>
      </w:r>
      <w:r>
        <w:rPr>
          <w:rFonts w:ascii="Times New Roman Regular" w:hAnsi="Times New Roman Regular" w:cs="Times New Roman Regular"/>
        </w:rPr>
        <w:t>年）》；</w:t>
      </w:r>
    </w:p>
    <w:p w:rsidR="00B373FD">
      <w:pPr>
        <w:numPr>
          <w:ilvl w:val="0"/>
          <w:numId w:val="9"/>
        </w:numPr>
        <w:adjustRightInd w:val="0"/>
        <w:snapToGrid w:val="0"/>
        <w:ind w:firstLine="640" w:firstLineChars="200"/>
        <w:rPr>
          <w:rFonts w:ascii="Times New Roman Regular" w:hAnsi="Times New Roman Regular" w:cs="Times New Roman Regular"/>
        </w:rPr>
      </w:pPr>
      <w:r>
        <w:rPr>
          <w:rFonts w:ascii="Times New Roman Regular" w:hAnsi="Times New Roman Regular" w:cs="Times New Roman Regular"/>
        </w:rPr>
        <w:t>《太仓市内河港口和船舶污染物接收、转运及处置设施建设方案（修编）》（审查稿）；</w:t>
      </w:r>
    </w:p>
    <w:p w:rsidR="00B373FD">
      <w:pPr>
        <w:numPr>
          <w:ilvl w:val="0"/>
          <w:numId w:val="9"/>
        </w:numPr>
        <w:adjustRightInd w:val="0"/>
        <w:snapToGrid w:val="0"/>
        <w:ind w:firstLine="640" w:firstLineChars="200"/>
        <w:rPr>
          <w:rFonts w:ascii="Times New Roman Regular" w:hAnsi="Times New Roman Regular" w:cs="Times New Roman Regular"/>
        </w:rPr>
      </w:pPr>
      <w:r>
        <w:rPr>
          <w:rFonts w:ascii="Times New Roman Regular" w:hAnsi="Times New Roman Regular" w:cs="Times New Roman Regular"/>
        </w:rPr>
        <w:t>《太仓市公路水路网规划修编（</w:t>
      </w:r>
      <w:r>
        <w:rPr>
          <w:rFonts w:ascii="Times New Roman Regular" w:hAnsi="Times New Roman Regular" w:cs="Times New Roman Regular"/>
        </w:rPr>
        <w:t>2010-2030</w:t>
      </w:r>
      <w:r>
        <w:rPr>
          <w:rFonts w:ascii="Times New Roman Regular" w:hAnsi="Times New Roman Regular" w:cs="Times New Roman Regular"/>
        </w:rPr>
        <w:t>）》；</w:t>
      </w:r>
    </w:p>
    <w:p w:rsidR="00B373FD">
      <w:pPr>
        <w:numPr>
          <w:ilvl w:val="0"/>
          <w:numId w:val="9"/>
        </w:numPr>
        <w:adjustRightInd w:val="0"/>
        <w:snapToGrid w:val="0"/>
        <w:ind w:firstLine="640" w:firstLineChars="200"/>
        <w:rPr>
          <w:rFonts w:ascii="Times New Roman Regular" w:hAnsi="Times New Roman Regular" w:cs="Times New Roman Regular"/>
        </w:rPr>
      </w:pPr>
      <w:r>
        <w:rPr>
          <w:rFonts w:ascii="Times New Roman Regular" w:hAnsi="Times New Roman Regular" w:cs="Times New Roman Regular"/>
        </w:rPr>
        <w:t>《太仓市湿地保护规划（</w:t>
      </w:r>
      <w:r>
        <w:rPr>
          <w:rFonts w:ascii="Times New Roman Regular" w:hAnsi="Times New Roman Regular" w:cs="Times New Roman Regular"/>
        </w:rPr>
        <w:t>2017-2030</w:t>
      </w:r>
      <w:r>
        <w:rPr>
          <w:rFonts w:ascii="Times New Roman Regular" w:hAnsi="Times New Roman Regular" w:cs="Times New Roman Regular"/>
        </w:rPr>
        <w:t>）》；</w:t>
      </w:r>
    </w:p>
    <w:p w:rsidR="00B373FD">
      <w:pPr>
        <w:numPr>
          <w:ilvl w:val="0"/>
          <w:numId w:val="9"/>
        </w:numPr>
        <w:adjustRightInd w:val="0"/>
        <w:snapToGrid w:val="0"/>
        <w:ind w:firstLine="640" w:firstLineChars="200"/>
        <w:rPr>
          <w:rFonts w:ascii="Times New Roman Regular" w:hAnsi="Times New Roman Regular" w:cs="Times New Roman Regular"/>
        </w:rPr>
      </w:pPr>
      <w:r>
        <w:rPr>
          <w:color w:val="0D0D0D"/>
        </w:rPr>
        <w:t>《太仓市城市绿地系统规划（</w:t>
      </w:r>
      <w:r>
        <w:rPr>
          <w:color w:val="0D0D0D"/>
        </w:rPr>
        <w:t>2010-2030</w:t>
      </w:r>
      <w:r>
        <w:rPr>
          <w:color w:val="0D0D0D"/>
        </w:rPr>
        <w:t>）》（</w:t>
      </w:r>
      <w:r>
        <w:rPr>
          <w:color w:val="0D0D0D"/>
        </w:rPr>
        <w:t>2019</w:t>
      </w:r>
      <w:r>
        <w:rPr>
          <w:color w:val="0D0D0D"/>
        </w:rPr>
        <w:t>年修改版）</w:t>
      </w:r>
      <w:r>
        <w:rPr>
          <w:rFonts w:hint="eastAsia"/>
          <w:color w:val="0D0D0D"/>
        </w:rPr>
        <w:t>；</w:t>
      </w:r>
    </w:p>
    <w:p w:rsidR="00B373FD">
      <w:pPr>
        <w:numPr>
          <w:ilvl w:val="0"/>
          <w:numId w:val="9"/>
        </w:numPr>
        <w:adjustRightInd w:val="0"/>
        <w:snapToGrid w:val="0"/>
        <w:ind w:firstLine="640" w:firstLineChars="200"/>
        <w:rPr>
          <w:rFonts w:ascii="Times New Roman Regular" w:hAnsi="Times New Roman Regular" w:cs="Times New Roman Regular"/>
        </w:rPr>
      </w:pPr>
      <w:r>
        <w:rPr>
          <w:rFonts w:ascii="Times New Roman Regular" w:hAnsi="Times New Roman Regular" w:cs="Times New Roman Regular"/>
        </w:rPr>
        <w:t>《太仓市城市生态评估报告与修复总体方案》；</w:t>
      </w:r>
    </w:p>
    <w:p w:rsidR="00B373FD">
      <w:pPr>
        <w:numPr>
          <w:ilvl w:val="0"/>
          <w:numId w:val="9"/>
        </w:numPr>
        <w:adjustRightInd w:val="0"/>
        <w:snapToGrid w:val="0"/>
        <w:ind w:firstLine="640" w:firstLineChars="200"/>
        <w:rPr>
          <w:rFonts w:ascii="Times New Roman Regular" w:hAnsi="Times New Roman Regular" w:cs="Times New Roman Regular"/>
        </w:rPr>
      </w:pPr>
      <w:r>
        <w:rPr>
          <w:rFonts w:ascii="Times New Roman Regular" w:hAnsi="Times New Roman Regular" w:cs="Times New Roman Regular"/>
        </w:rPr>
        <w:t>《太仓市生态文明建设规划（</w:t>
      </w:r>
      <w:r>
        <w:rPr>
          <w:rFonts w:ascii="Times New Roman Regular" w:hAnsi="Times New Roman Regular" w:cs="Times New Roman Regular"/>
        </w:rPr>
        <w:t>2020-2030</w:t>
      </w:r>
      <w:r>
        <w:rPr>
          <w:rFonts w:ascii="Times New Roman Regular" w:hAnsi="Times New Roman Regular" w:cs="Times New Roman Regular"/>
        </w:rPr>
        <w:t>）》；</w:t>
      </w:r>
    </w:p>
    <w:p w:rsidR="00B373FD">
      <w:pPr>
        <w:numPr>
          <w:ilvl w:val="0"/>
          <w:numId w:val="9"/>
        </w:numPr>
        <w:adjustRightInd w:val="0"/>
        <w:snapToGrid w:val="0"/>
        <w:ind w:firstLine="640" w:firstLineChars="200"/>
        <w:rPr>
          <w:rFonts w:ascii="Times New Roman Regular" w:hAnsi="Times New Roman Regular" w:cs="Times New Roman Regular"/>
        </w:rPr>
      </w:pPr>
      <w:r>
        <w:rPr>
          <w:rFonts w:ascii="Times New Roman Regular" w:hAnsi="Times New Roman Regular" w:cs="Times New Roman Regular"/>
        </w:rPr>
        <w:t>《太仓市</w:t>
      </w:r>
      <w:r>
        <w:rPr>
          <w:rFonts w:ascii="Times New Roman Regular" w:hAnsi="Times New Roman Regular" w:cs="Times New Roman Regular"/>
          <w:szCs w:val="32"/>
        </w:rPr>
        <w:t>国民经济和社会发展第十四个五年规划和二</w:t>
      </w:r>
      <w:r w:rsidRPr="00956BFF" w:rsidR="00323A1C">
        <w:rPr>
          <w:szCs w:val="32"/>
        </w:rPr>
        <w:t>O</w:t>
      </w:r>
      <w:r>
        <w:rPr>
          <w:rFonts w:ascii="Times New Roman Regular" w:hAnsi="Times New Roman Regular" w:cs="Times New Roman Regular"/>
          <w:szCs w:val="32"/>
        </w:rPr>
        <w:t>三五年远景目标纲要</w:t>
      </w:r>
      <w:r>
        <w:rPr>
          <w:rFonts w:ascii="Times New Roman Regular" w:hAnsi="Times New Roman Regular" w:cs="Times New Roman Regular"/>
        </w:rPr>
        <w:t>》</w:t>
      </w:r>
      <w:r>
        <w:rPr>
          <w:rFonts w:ascii="Times New Roman Regular" w:hAnsi="Times New Roman Regular" w:cs="Times New Roman Regular"/>
        </w:rPr>
        <w:t>；</w:t>
      </w:r>
    </w:p>
    <w:p w:rsidR="00B373FD">
      <w:pPr>
        <w:numPr>
          <w:ilvl w:val="0"/>
          <w:numId w:val="9"/>
        </w:numPr>
        <w:adjustRightInd w:val="0"/>
        <w:snapToGrid w:val="0"/>
        <w:ind w:firstLine="640" w:firstLineChars="200"/>
        <w:rPr>
          <w:rFonts w:ascii="Times New Roman Regular" w:hAnsi="Times New Roman Regular" w:cs="Times New Roman Regular"/>
        </w:rPr>
      </w:pPr>
      <w:r>
        <w:rPr>
          <w:rFonts w:ascii="Times New Roman Regular" w:hAnsi="Times New Roman Regular" w:cs="Times New Roman Regular"/>
        </w:rPr>
        <w:t>《太仓市乡村振兴战略实施规划（</w:t>
      </w:r>
      <w:r>
        <w:rPr>
          <w:rFonts w:ascii="Times New Roman Regular" w:hAnsi="Times New Roman Regular" w:cs="Times New Roman Regular"/>
        </w:rPr>
        <w:t>2018—2022</w:t>
      </w:r>
      <w:r>
        <w:rPr>
          <w:rFonts w:ascii="Times New Roman Regular" w:hAnsi="Times New Roman Regular" w:cs="Times New Roman Regular"/>
        </w:rPr>
        <w:t>年）》。</w:t>
      </w:r>
    </w:p>
    <w:p w:rsidR="00B373FD">
      <w:pPr>
        <w:pStyle w:val="Heading2"/>
        <w:numPr>
          <w:ilvl w:val="1"/>
          <w:numId w:val="4"/>
        </w:numPr>
        <w:spacing w:before="156" w:after="156"/>
        <w:rPr>
          <w:rFonts w:ascii="Times New Roman Regular" w:hAnsi="Times New Roman Regular" w:cs="Times New Roman Regular"/>
        </w:rPr>
      </w:pPr>
      <w:bookmarkStart w:id="22" w:name="_Toc77862683"/>
      <w:r>
        <w:rPr>
          <w:rFonts w:ascii="Times New Roman Regular" w:hAnsi="Times New Roman Regular" w:cs="Times New Roman Regular"/>
        </w:rPr>
        <w:t>技术路线</w:t>
      </w:r>
      <w:bookmarkEnd w:id="22"/>
    </w:p>
    <w:p w:rsidR="00B373FD">
      <w:pPr>
        <w:adjustRightInd w:val="0"/>
        <w:snapToGrid w:val="0"/>
        <w:ind w:firstLine="640" w:firstLineChars="200"/>
        <w:rPr>
          <w:rFonts w:ascii="Times New Roman Regular" w:eastAsia="黑体" w:hAnsi="Times New Roman Regular" w:cs="Times New Roman Regular"/>
          <w:sz w:val="28"/>
          <w:szCs w:val="28"/>
        </w:rPr>
      </w:pPr>
      <w:r>
        <w:rPr>
          <w:rFonts w:ascii="Times New Roman Regular" w:hAnsi="Times New Roman Regular" w:cs="Times New Roman Regular"/>
          <w:szCs w:val="32"/>
        </w:rPr>
        <w:t>《规划》以太仓市水、气、</w:t>
      </w:r>
      <w:r>
        <w:rPr>
          <w:rFonts w:ascii="Times New Roman Regular" w:hAnsi="Times New Roman Regular" w:cs="Times New Roman Regular" w:hint="eastAsia"/>
          <w:szCs w:val="32"/>
        </w:rPr>
        <w:t>土壤、</w:t>
      </w:r>
      <w:r>
        <w:rPr>
          <w:rFonts w:ascii="Times New Roman Regular" w:hAnsi="Times New Roman Regular" w:cs="Times New Roman Regular"/>
          <w:szCs w:val="32"/>
        </w:rPr>
        <w:t>声等环境现状分析，环境政策和环境管理现状分析等为基础，对照</w:t>
      </w:r>
      <w:r>
        <w:rPr>
          <w:rFonts w:ascii="Times New Roman Regular" w:hAnsi="Times New Roman Regular" w:cs="Times New Roman Regular"/>
          <w:szCs w:val="32"/>
        </w:rPr>
        <w:t>“</w:t>
      </w:r>
      <w:r>
        <w:rPr>
          <w:rFonts w:ascii="Times New Roman Regular" w:hAnsi="Times New Roman Regular" w:cs="Times New Roman Regular"/>
          <w:szCs w:val="32"/>
        </w:rPr>
        <w:t>十三五</w:t>
      </w:r>
      <w:r>
        <w:rPr>
          <w:rFonts w:ascii="Times New Roman Regular" w:hAnsi="Times New Roman Regular" w:cs="Times New Roman Regular"/>
          <w:szCs w:val="32"/>
        </w:rPr>
        <w:t>”</w:t>
      </w:r>
      <w:r>
        <w:rPr>
          <w:rFonts w:ascii="Times New Roman Regular" w:hAnsi="Times New Roman Regular" w:cs="Times New Roman Regular"/>
          <w:szCs w:val="32"/>
        </w:rPr>
        <w:t>时期情况分析</w:t>
      </w:r>
      <w:r>
        <w:rPr>
          <w:rFonts w:ascii="Times New Roman Regular" w:hAnsi="Times New Roman Regular" w:cs="Times New Roman Regular"/>
          <w:szCs w:val="32"/>
        </w:rPr>
        <w:t>“</w:t>
      </w:r>
      <w:r>
        <w:rPr>
          <w:rFonts w:ascii="Times New Roman Regular" w:hAnsi="Times New Roman Regular" w:cs="Times New Roman Regular"/>
          <w:szCs w:val="32"/>
        </w:rPr>
        <w:t>十三五</w:t>
      </w:r>
      <w:r>
        <w:rPr>
          <w:rFonts w:ascii="Times New Roman Regular" w:hAnsi="Times New Roman Regular" w:cs="Times New Roman Regular"/>
          <w:szCs w:val="32"/>
        </w:rPr>
        <w:t>”</w:t>
      </w:r>
      <w:r>
        <w:rPr>
          <w:rFonts w:ascii="Times New Roman Regular" w:hAnsi="Times New Roman Regular" w:cs="Times New Roman Regular"/>
          <w:szCs w:val="32"/>
        </w:rPr>
        <w:t>总体环境形势和存在的主要问题。以江苏省、苏州市</w:t>
      </w:r>
      <w:r>
        <w:rPr>
          <w:rFonts w:ascii="Times New Roman Regular" w:hAnsi="Times New Roman Regular" w:cs="Times New Roman Regular"/>
          <w:szCs w:val="32"/>
        </w:rPr>
        <w:t>“</w:t>
      </w:r>
      <w:r>
        <w:rPr>
          <w:rFonts w:ascii="Times New Roman Regular" w:hAnsi="Times New Roman Regular" w:cs="Times New Roman Regular"/>
          <w:szCs w:val="32"/>
        </w:rPr>
        <w:t>十四五</w:t>
      </w:r>
      <w:r>
        <w:rPr>
          <w:rFonts w:ascii="Times New Roman Regular" w:hAnsi="Times New Roman Regular" w:cs="Times New Roman Regular"/>
          <w:szCs w:val="32"/>
        </w:rPr>
        <w:t>”</w:t>
      </w:r>
      <w:r>
        <w:rPr>
          <w:rFonts w:ascii="Times New Roman Regular" w:hAnsi="Times New Roman Regular" w:cs="Times New Roman Regular"/>
          <w:szCs w:val="32"/>
        </w:rPr>
        <w:t>生态环境保护规划目标为基础，结合太仓市经济社会发展规划和环境保护实际情况，确定太仓市</w:t>
      </w:r>
      <w:r>
        <w:rPr>
          <w:rFonts w:ascii="Times New Roman Regular" w:hAnsi="Times New Roman Regular" w:cs="Times New Roman Regular"/>
          <w:szCs w:val="32"/>
        </w:rPr>
        <w:t>“</w:t>
      </w:r>
      <w:r>
        <w:rPr>
          <w:rFonts w:ascii="Times New Roman Regular" w:hAnsi="Times New Roman Regular" w:cs="Times New Roman Regular"/>
          <w:szCs w:val="32"/>
        </w:rPr>
        <w:t>十四五</w:t>
      </w:r>
      <w:r>
        <w:rPr>
          <w:rFonts w:ascii="Times New Roman Regular" w:hAnsi="Times New Roman Regular" w:cs="Times New Roman Regular"/>
          <w:szCs w:val="32"/>
        </w:rPr>
        <w:t>”</w:t>
      </w:r>
      <w:r>
        <w:rPr>
          <w:rFonts w:ascii="Times New Roman Regular" w:hAnsi="Times New Roman Regular" w:cs="Times New Roman Regular"/>
          <w:szCs w:val="32"/>
        </w:rPr>
        <w:t>生态环境保护规划目标、指标及太仓市</w:t>
      </w:r>
      <w:r>
        <w:rPr>
          <w:rFonts w:ascii="Times New Roman Regular" w:hAnsi="Times New Roman Regular" w:cs="Times New Roman Regular"/>
          <w:szCs w:val="32"/>
        </w:rPr>
        <w:t>“</w:t>
      </w:r>
      <w:r>
        <w:rPr>
          <w:rFonts w:ascii="Times New Roman Regular" w:hAnsi="Times New Roman Regular" w:cs="Times New Roman Regular"/>
          <w:szCs w:val="32"/>
        </w:rPr>
        <w:t>十四五</w:t>
      </w:r>
      <w:r>
        <w:rPr>
          <w:rFonts w:ascii="Times New Roman Regular" w:hAnsi="Times New Roman Regular" w:cs="Times New Roman Regular"/>
          <w:szCs w:val="32"/>
        </w:rPr>
        <w:t>”</w:t>
      </w:r>
      <w:r>
        <w:rPr>
          <w:rFonts w:ascii="Times New Roman Regular" w:hAnsi="Times New Roman Regular" w:cs="Times New Roman Regular"/>
          <w:szCs w:val="32"/>
        </w:rPr>
        <w:t>生态环境保护规划主要任务、重大工程等，并采取相应的措施保障规划的顺利实施。</w:t>
      </w:r>
    </w:p>
    <w:p w:rsidR="00B373FD">
      <w:pPr>
        <w:rPr>
          <w:rFonts w:ascii="Times New Roman Regular" w:eastAsia="黑体" w:hAnsi="Times New Roman Regular" w:cs="Times New Roman Regular"/>
          <w:sz w:val="28"/>
          <w:szCs w:val="28"/>
        </w:rPr>
      </w:pPr>
    </w:p>
    <w:p w:rsidR="00B373FD">
      <w:pPr>
        <w:pStyle w:val="NoteHeading"/>
      </w:pPr>
    </w:p>
    <w:p w:rsidR="00B373FD">
      <w:pPr>
        <w:pStyle w:val="a10"/>
        <w:rPr>
          <w:rFonts w:ascii="Times New Roman Regular" w:eastAsia="黑体" w:hAnsi="Times New Roman Regular" w:cs="Times New Roman Regular"/>
          <w:sz w:val="28"/>
          <w:szCs w:val="28"/>
        </w:rPr>
      </w:pPr>
      <w:r>
        <w:rPr>
          <w:rFonts w:hAnsi="宋体" w:cs="宋体" w:hint="eastAsia"/>
          <w:noProof/>
        </w:rPr>
        <mc:AlternateContent>
          <mc:Choice Requires="wpg">
            <w:drawing>
              <wp:anchor distT="0" distB="0" distL="114300" distR="114300" simplePos="0" relativeHeight="251663360" behindDoc="0" locked="0" layoutInCell="1" allowOverlap="1">
                <wp:simplePos x="0" y="0"/>
                <wp:positionH relativeFrom="column">
                  <wp:align>center</wp:align>
                </wp:positionH>
                <wp:positionV relativeFrom="paragraph">
                  <wp:posOffset>0</wp:posOffset>
                </wp:positionV>
                <wp:extent cx="5168265" cy="4710430"/>
                <wp:effectExtent l="4445" t="5080" r="8890" b="8890"/>
                <wp:wrapNone/>
                <wp:docPr id="7" name="组合 14"/>
                <wp:cNvGraphicFramePr/>
                <a:graphic xmlns:a="http://schemas.openxmlformats.org/drawingml/2006/main">
                  <a:graphicData uri="http://schemas.microsoft.com/office/word/2010/wordprocessingGroup">
                    <wpg:wgp xmlns:wpg="http://schemas.microsoft.com/office/word/2010/wordprocessingGroup">
                      <wpg:cNvGrpSpPr/>
                      <wpg:grpSpPr>
                        <a:xfrm>
                          <a:off x="0" y="0"/>
                          <a:ext cx="5168265" cy="4710430"/>
                          <a:chOff x="1648" y="2466"/>
                          <a:chExt cx="8360" cy="7034"/>
                        </a:xfrm>
                      </wpg:grpSpPr>
                      <wps:wsp xmlns:wps="http://schemas.microsoft.com/office/word/2010/wordprocessingShape">
                        <wps:cNvPr id="8" name="Text Box 3"/>
                        <wps:cNvSpPr txBox="1"/>
                        <wps:spPr>
                          <a:xfrm>
                            <a:off x="1812" y="2466"/>
                            <a:ext cx="1620" cy="397"/>
                          </a:xfrm>
                          <a:prstGeom prst="rect">
                            <a:avLst/>
                          </a:prstGeom>
                          <a:solidFill>
                            <a:srgbClr val="FFFFFF"/>
                          </a:solidFill>
                          <a:ln w="9525">
                            <a:solidFill>
                              <a:srgbClr val="000000"/>
                            </a:solidFill>
                            <a:miter lim="0"/>
                            <a:headEnd/>
                            <a:tailEnd/>
                          </a:ln>
                        </wps:spPr>
                        <wps:txbx>
                          <w:txbxContent>
                            <w:p w:rsidR="00312F60">
                              <w:pPr>
                                <w:pStyle w:val="NormalWeb"/>
                                <w:spacing w:line="240" w:lineRule="auto"/>
                                <w:jc w:val="center"/>
                                <w:rPr>
                                  <w:rFonts w:ascii="黑体" w:eastAsia="黑体" w:hAnsi="黑体" w:cs="黑体"/>
                                </w:rPr>
                              </w:pPr>
                              <w:r>
                                <w:rPr>
                                  <w:rFonts w:ascii="黑体" w:eastAsia="黑体" w:hAnsi="黑体" w:cs="黑体" w:hint="eastAsia"/>
                                  <w:color w:val="000000" w:themeColor="text1"/>
                                  <w:kern w:val="24"/>
                                  <w:sz w:val="20"/>
                                  <w:szCs w:val="20"/>
                                </w:rPr>
                                <w:t>环境现状分析</w:t>
                              </w:r>
                            </w:p>
                            <w:p w:rsidR="00312F60">
                              <w:pPr>
                                <w:pStyle w:val="NormalWeb"/>
                                <w:rPr>
                                  <w:rFonts w:ascii="黑体" w:eastAsia="黑体" w:hAnsi="黑体" w:cs="黑体"/>
                                </w:rPr>
                              </w:pPr>
                            </w:p>
                          </w:txbxContent>
                        </wps:txbx>
                        <wps:bodyPr vert="horz" wrap="square" lIns="0" tIns="18000" rIns="0" bIns="18000" anchor="t" anchorCtr="1"/>
                      </wps:wsp>
                      <wps:wsp xmlns:wps="http://schemas.microsoft.com/office/word/2010/wordprocessingShape">
                        <wps:cNvPr id="9" name="Text Box 4"/>
                        <wps:cNvSpPr txBox="1"/>
                        <wps:spPr>
                          <a:xfrm>
                            <a:off x="3576" y="2466"/>
                            <a:ext cx="2700" cy="397"/>
                          </a:xfrm>
                          <a:prstGeom prst="rect">
                            <a:avLst/>
                          </a:prstGeom>
                          <a:solidFill>
                            <a:srgbClr val="FFFFFF"/>
                          </a:solidFill>
                          <a:ln w="9525">
                            <a:solidFill>
                              <a:srgbClr val="000000"/>
                            </a:solidFill>
                            <a:miter lim="0"/>
                            <a:headEnd/>
                            <a:tailEnd/>
                          </a:ln>
                        </wps:spPr>
                        <wps:txbx>
                          <w:txbxContent>
                            <w:p w:rsidR="00312F60">
                              <w:pPr>
                                <w:pStyle w:val="NormalWeb"/>
                                <w:spacing w:line="240" w:lineRule="auto"/>
                                <w:jc w:val="center"/>
                                <w:rPr>
                                  <w:rFonts w:ascii="黑体" w:eastAsia="黑体" w:hAnsi="黑体" w:cs="黑体"/>
                                </w:rPr>
                              </w:pPr>
                              <w:r>
                                <w:rPr>
                                  <w:rFonts w:ascii="黑体" w:eastAsia="黑体" w:hAnsi="黑体" w:cs="黑体" w:hint="eastAsia"/>
                                  <w:color w:val="000000" w:themeColor="text1"/>
                                  <w:kern w:val="24"/>
                                  <w:sz w:val="20"/>
                                  <w:szCs w:val="20"/>
                                </w:rPr>
                                <w:t>经济与环境关联性分析</w:t>
                              </w:r>
                            </w:p>
                            <w:p w:rsidR="00312F60">
                              <w:pPr>
                                <w:pStyle w:val="NormalWeb"/>
                                <w:rPr>
                                  <w:rFonts w:ascii="黑体" w:eastAsia="黑体" w:hAnsi="黑体" w:cs="黑体"/>
                                </w:rPr>
                              </w:pPr>
                            </w:p>
                          </w:txbxContent>
                        </wps:txbx>
                        <wps:bodyPr vert="horz" wrap="square" lIns="0" tIns="18000" rIns="0" bIns="18000" anchor="t" anchorCtr="1"/>
                      </wps:wsp>
                      <wps:wsp xmlns:wps="http://schemas.microsoft.com/office/word/2010/wordprocessingShape">
                        <wps:cNvPr id="10" name="Text Box 5"/>
                        <wps:cNvSpPr txBox="1"/>
                        <wps:spPr>
                          <a:xfrm>
                            <a:off x="6636" y="2466"/>
                            <a:ext cx="1620" cy="397"/>
                          </a:xfrm>
                          <a:prstGeom prst="rect">
                            <a:avLst/>
                          </a:prstGeom>
                          <a:solidFill>
                            <a:srgbClr val="FFFFFF"/>
                          </a:solidFill>
                          <a:ln w="9525">
                            <a:solidFill>
                              <a:srgbClr val="000000"/>
                            </a:solidFill>
                            <a:miter lim="0"/>
                            <a:headEnd/>
                            <a:tailEnd/>
                          </a:ln>
                        </wps:spPr>
                        <wps:txbx>
                          <w:txbxContent>
                            <w:p w:rsidR="00312F60">
                              <w:pPr>
                                <w:pStyle w:val="NormalWeb"/>
                                <w:spacing w:line="240" w:lineRule="auto"/>
                                <w:jc w:val="center"/>
                                <w:rPr>
                                  <w:rFonts w:ascii="黑体" w:eastAsia="黑体" w:hAnsi="黑体" w:cs="黑体"/>
                                </w:rPr>
                              </w:pPr>
                              <w:r>
                                <w:rPr>
                                  <w:rFonts w:ascii="黑体" w:eastAsia="黑体" w:hAnsi="黑体" w:cs="黑体" w:hint="eastAsia"/>
                                  <w:color w:val="000000" w:themeColor="text1"/>
                                  <w:kern w:val="24"/>
                                  <w:sz w:val="20"/>
                                  <w:szCs w:val="20"/>
                                </w:rPr>
                                <w:t>管理现状分析</w:t>
                              </w:r>
                            </w:p>
                            <w:p w:rsidR="00312F60">
                              <w:pPr>
                                <w:pStyle w:val="NormalWeb"/>
                                <w:rPr>
                                  <w:rFonts w:ascii="黑体" w:eastAsia="黑体" w:hAnsi="黑体" w:cs="黑体"/>
                                </w:rPr>
                              </w:pPr>
                            </w:p>
                          </w:txbxContent>
                        </wps:txbx>
                        <wps:bodyPr vert="horz" wrap="square" lIns="0" tIns="18000" rIns="0" bIns="18000" anchor="t" anchorCtr="1"/>
                      </wps:wsp>
                      <wps:wsp xmlns:wps="http://schemas.microsoft.com/office/word/2010/wordprocessingShape">
                        <wps:cNvPr id="11" name="Text Box 6"/>
                        <wps:cNvSpPr txBox="1"/>
                        <wps:spPr>
                          <a:xfrm>
                            <a:off x="8388" y="2478"/>
                            <a:ext cx="1620" cy="397"/>
                          </a:xfrm>
                          <a:prstGeom prst="rect">
                            <a:avLst/>
                          </a:prstGeom>
                          <a:solidFill>
                            <a:srgbClr val="FFFFFF"/>
                          </a:solidFill>
                          <a:ln w="9525">
                            <a:solidFill>
                              <a:srgbClr val="000000"/>
                            </a:solidFill>
                            <a:miter lim="0"/>
                            <a:headEnd/>
                            <a:tailEnd/>
                          </a:ln>
                        </wps:spPr>
                        <wps:txbx>
                          <w:txbxContent>
                            <w:p w:rsidR="00312F60">
                              <w:pPr>
                                <w:pStyle w:val="NormalWeb"/>
                                <w:spacing w:line="240" w:lineRule="auto"/>
                                <w:jc w:val="center"/>
                                <w:rPr>
                                  <w:rFonts w:ascii="黑体" w:eastAsia="黑体" w:hAnsi="黑体" w:cs="黑体"/>
                                </w:rPr>
                              </w:pPr>
                              <w:r>
                                <w:rPr>
                                  <w:rFonts w:ascii="黑体" w:eastAsia="黑体" w:hAnsi="黑体" w:cs="黑体" w:hint="eastAsia"/>
                                  <w:color w:val="000000" w:themeColor="text1"/>
                                  <w:kern w:val="24"/>
                                  <w:sz w:val="20"/>
                                  <w:szCs w:val="20"/>
                                </w:rPr>
                                <w:t>环境政策分析</w:t>
                              </w:r>
                            </w:p>
                            <w:p w:rsidR="00312F60">
                              <w:pPr>
                                <w:pStyle w:val="NormalWeb"/>
                              </w:pPr>
                            </w:p>
                          </w:txbxContent>
                        </wps:txbx>
                        <wps:bodyPr vert="horz" wrap="square" lIns="0" tIns="18000" rIns="0" bIns="18000" anchor="t" anchorCtr="1"/>
                      </wps:wsp>
                      <wps:wsp xmlns:wps="http://schemas.microsoft.com/office/word/2010/wordprocessingShape">
                        <wps:cNvPr id="12" name="Line 7"/>
                        <wps:cNvCnPr/>
                        <wps:spPr>
                          <a:xfrm>
                            <a:off x="2574" y="3254"/>
                            <a:ext cx="6630" cy="0"/>
                          </a:xfrm>
                          <a:prstGeom prst="line">
                            <a:avLst/>
                          </a:prstGeom>
                          <a:ln w="9525">
                            <a:solidFill>
                              <a:srgbClr val="000000"/>
                            </a:solidFill>
                            <a:headEnd/>
                            <a:tailEnd/>
                          </a:ln>
                        </wps:spPr>
                        <wps:bodyPr/>
                      </wps:wsp>
                      <wps:wsp xmlns:wps="http://schemas.microsoft.com/office/word/2010/wordprocessingShape">
                        <wps:cNvPr id="13" name="Line 8"/>
                        <wps:cNvCnPr/>
                        <wps:spPr>
                          <a:xfrm>
                            <a:off x="2562" y="2876"/>
                            <a:ext cx="0" cy="369"/>
                          </a:xfrm>
                          <a:prstGeom prst="line">
                            <a:avLst/>
                          </a:prstGeom>
                          <a:ln w="9525">
                            <a:solidFill>
                              <a:srgbClr val="000000"/>
                            </a:solidFill>
                            <a:headEnd/>
                            <a:tailEnd/>
                          </a:ln>
                        </wps:spPr>
                        <wps:bodyPr/>
                      </wps:wsp>
                      <wps:wsp xmlns:wps="http://schemas.microsoft.com/office/word/2010/wordprocessingShape">
                        <wps:cNvPr id="14" name="Line 9"/>
                        <wps:cNvCnPr/>
                        <wps:spPr>
                          <a:xfrm>
                            <a:off x="4704" y="2874"/>
                            <a:ext cx="0" cy="369"/>
                          </a:xfrm>
                          <a:prstGeom prst="line">
                            <a:avLst/>
                          </a:prstGeom>
                          <a:ln w="9525">
                            <a:solidFill>
                              <a:srgbClr val="000000"/>
                            </a:solidFill>
                            <a:headEnd/>
                            <a:tailEnd/>
                          </a:ln>
                        </wps:spPr>
                        <wps:bodyPr/>
                      </wps:wsp>
                      <wps:wsp xmlns:wps="http://schemas.microsoft.com/office/word/2010/wordprocessingShape">
                        <wps:cNvPr id="15" name="Line 10"/>
                        <wps:cNvCnPr/>
                        <wps:spPr>
                          <a:xfrm>
                            <a:off x="7332" y="2874"/>
                            <a:ext cx="0" cy="369"/>
                          </a:xfrm>
                          <a:prstGeom prst="line">
                            <a:avLst/>
                          </a:prstGeom>
                          <a:ln w="9525">
                            <a:solidFill>
                              <a:srgbClr val="000000"/>
                            </a:solidFill>
                            <a:headEnd/>
                            <a:tailEnd/>
                          </a:ln>
                        </wps:spPr>
                        <wps:bodyPr/>
                      </wps:wsp>
                      <wps:wsp xmlns:wps="http://schemas.microsoft.com/office/word/2010/wordprocessingShape">
                        <wps:cNvPr id="16" name="Line 11"/>
                        <wps:cNvCnPr/>
                        <wps:spPr>
                          <a:xfrm>
                            <a:off x="9204" y="2874"/>
                            <a:ext cx="0" cy="369"/>
                          </a:xfrm>
                          <a:prstGeom prst="line">
                            <a:avLst/>
                          </a:prstGeom>
                          <a:ln w="9525">
                            <a:solidFill>
                              <a:srgbClr val="000000"/>
                            </a:solidFill>
                            <a:headEnd/>
                            <a:tailEnd/>
                          </a:ln>
                        </wps:spPr>
                        <wps:bodyPr/>
                      </wps:wsp>
                      <wps:wsp xmlns:wps="http://schemas.microsoft.com/office/word/2010/wordprocessingShape">
                        <wps:cNvPr id="17" name="Text Box 12"/>
                        <wps:cNvSpPr txBox="1"/>
                        <wps:spPr>
                          <a:xfrm>
                            <a:off x="1648" y="3990"/>
                            <a:ext cx="3152" cy="397"/>
                          </a:xfrm>
                          <a:prstGeom prst="rect">
                            <a:avLst/>
                          </a:prstGeom>
                          <a:solidFill>
                            <a:srgbClr val="FFFFFF"/>
                          </a:solidFill>
                          <a:ln w="9525">
                            <a:solidFill>
                              <a:srgbClr val="000000"/>
                            </a:solidFill>
                            <a:miter lim="0"/>
                            <a:headEnd/>
                            <a:tailEnd/>
                          </a:ln>
                        </wps:spPr>
                        <wps:txbx>
                          <w:txbxContent>
                            <w:p w:rsidR="00312F60">
                              <w:pPr>
                                <w:pStyle w:val="NormalWeb"/>
                                <w:spacing w:line="240" w:lineRule="auto"/>
                                <w:jc w:val="center"/>
                                <w:rPr>
                                  <w:rFonts w:ascii="黑体" w:eastAsia="黑体" w:hAnsi="黑体" w:cs="黑体"/>
                                </w:rPr>
                              </w:pPr>
                              <w:r>
                                <w:rPr>
                                  <w:rFonts w:ascii="黑体" w:eastAsia="黑体" w:hAnsi="黑体" w:cs="黑体" w:hint="eastAsia"/>
                                  <w:color w:val="000000" w:themeColor="text1"/>
                                  <w:kern w:val="24"/>
                                  <w:sz w:val="20"/>
                                  <w:szCs w:val="20"/>
                                </w:rPr>
                                <w:t>“十四五”环境形势预测</w:t>
                              </w:r>
                            </w:p>
                            <w:p w:rsidR="00312F60">
                              <w:pPr>
                                <w:pStyle w:val="NormalWeb"/>
                              </w:pPr>
                            </w:p>
                          </w:txbxContent>
                        </wps:txbx>
                        <wps:bodyPr vert="horz" wrap="square" lIns="0" tIns="18000" rIns="0" bIns="18000" anchor="t" anchorCtr="1"/>
                      </wps:wsp>
                      <wps:wsp xmlns:wps="http://schemas.microsoft.com/office/word/2010/wordprocessingShape">
                        <wps:cNvPr id="18" name="Text Box 13"/>
                        <wps:cNvSpPr txBox="1"/>
                        <wps:spPr>
                          <a:xfrm>
                            <a:off x="5052" y="3990"/>
                            <a:ext cx="2160" cy="397"/>
                          </a:xfrm>
                          <a:prstGeom prst="rect">
                            <a:avLst/>
                          </a:prstGeom>
                          <a:solidFill>
                            <a:srgbClr val="FFFFFF"/>
                          </a:solidFill>
                          <a:ln w="9525">
                            <a:solidFill>
                              <a:srgbClr val="000000"/>
                            </a:solidFill>
                            <a:miter lim="0"/>
                            <a:headEnd/>
                            <a:tailEnd/>
                          </a:ln>
                        </wps:spPr>
                        <wps:txbx>
                          <w:txbxContent>
                            <w:p w:rsidR="00312F60">
                              <w:pPr>
                                <w:pStyle w:val="NormalWeb"/>
                                <w:spacing w:line="240" w:lineRule="auto"/>
                                <w:jc w:val="center"/>
                                <w:rPr>
                                  <w:rFonts w:ascii="黑体" w:eastAsia="黑体" w:hAnsi="黑体" w:cs="黑体"/>
                                </w:rPr>
                              </w:pPr>
                              <w:r>
                                <w:rPr>
                                  <w:rFonts w:ascii="黑体" w:eastAsia="黑体" w:hAnsi="黑体" w:cs="黑体" w:hint="eastAsia"/>
                                  <w:color w:val="000000" w:themeColor="text1"/>
                                  <w:kern w:val="24"/>
                                  <w:sz w:val="20"/>
                                  <w:szCs w:val="20"/>
                                </w:rPr>
                                <w:t>主要环境问题分析</w:t>
                              </w:r>
                            </w:p>
                            <w:p w:rsidR="00312F60">
                              <w:pPr>
                                <w:pStyle w:val="NormalWeb"/>
                                <w:rPr>
                                  <w:rFonts w:ascii="黑体" w:eastAsia="黑体" w:hAnsi="黑体" w:cs="黑体"/>
                                </w:rPr>
                              </w:pPr>
                            </w:p>
                          </w:txbxContent>
                        </wps:txbx>
                        <wps:bodyPr vert="horz" wrap="square" lIns="0" tIns="18000" rIns="0" bIns="18000" anchor="t" anchorCtr="1"/>
                      </wps:wsp>
                      <wps:wsp xmlns:wps="http://schemas.microsoft.com/office/word/2010/wordprocessingShape">
                        <wps:cNvPr id="19" name="Text Box 14"/>
                        <wps:cNvSpPr txBox="1"/>
                        <wps:spPr>
                          <a:xfrm>
                            <a:off x="7644" y="3990"/>
                            <a:ext cx="1620" cy="397"/>
                          </a:xfrm>
                          <a:prstGeom prst="rect">
                            <a:avLst/>
                          </a:prstGeom>
                          <a:solidFill>
                            <a:srgbClr val="FFFFFF"/>
                          </a:solidFill>
                          <a:ln w="9525">
                            <a:solidFill>
                              <a:srgbClr val="000000"/>
                            </a:solidFill>
                            <a:miter lim="0"/>
                            <a:headEnd/>
                            <a:tailEnd/>
                          </a:ln>
                        </wps:spPr>
                        <wps:txbx>
                          <w:txbxContent>
                            <w:p w:rsidR="00312F60">
                              <w:pPr>
                                <w:pStyle w:val="NormalWeb"/>
                                <w:spacing w:line="240" w:lineRule="auto"/>
                                <w:jc w:val="center"/>
                                <w:rPr>
                                  <w:rFonts w:ascii="黑体" w:eastAsia="黑体" w:hAnsi="黑体" w:cs="黑体"/>
                                </w:rPr>
                              </w:pPr>
                              <w:r>
                                <w:rPr>
                                  <w:rFonts w:ascii="黑体" w:eastAsia="黑体" w:hAnsi="黑体" w:cs="黑体" w:hint="eastAsia"/>
                                  <w:color w:val="000000" w:themeColor="text1"/>
                                  <w:kern w:val="24"/>
                                  <w:sz w:val="20"/>
                                  <w:szCs w:val="20"/>
                                </w:rPr>
                                <w:t>主要经验总结</w:t>
                              </w:r>
                            </w:p>
                            <w:p w:rsidR="00312F60">
                              <w:pPr>
                                <w:pStyle w:val="NormalWeb"/>
                                <w:rPr>
                                  <w:rFonts w:ascii="黑体" w:eastAsia="黑体" w:hAnsi="黑体" w:cs="黑体"/>
                                </w:rPr>
                              </w:pPr>
                            </w:p>
                          </w:txbxContent>
                        </wps:txbx>
                        <wps:bodyPr vert="horz" wrap="square" lIns="0" tIns="18000" rIns="0" bIns="18000" anchor="t" anchorCtr="1"/>
                      </wps:wsp>
                      <wps:wsp xmlns:wps="http://schemas.microsoft.com/office/word/2010/wordprocessingShape">
                        <wps:cNvPr id="20" name="Line 15"/>
                        <wps:cNvCnPr/>
                        <wps:spPr>
                          <a:xfrm>
                            <a:off x="3270" y="3249"/>
                            <a:ext cx="0" cy="726"/>
                          </a:xfrm>
                          <a:prstGeom prst="line">
                            <a:avLst/>
                          </a:prstGeom>
                          <a:ln w="9525">
                            <a:solidFill>
                              <a:srgbClr val="000000"/>
                            </a:solidFill>
                            <a:headEnd/>
                            <a:tailEnd type="triangle"/>
                          </a:ln>
                        </wps:spPr>
                        <wps:bodyPr/>
                      </wps:wsp>
                      <wps:wsp xmlns:wps="http://schemas.microsoft.com/office/word/2010/wordprocessingShape">
                        <wps:cNvPr id="21" name="Line 16"/>
                        <wps:cNvCnPr/>
                        <wps:spPr>
                          <a:xfrm>
                            <a:off x="6120" y="3246"/>
                            <a:ext cx="0" cy="726"/>
                          </a:xfrm>
                          <a:prstGeom prst="line">
                            <a:avLst/>
                          </a:prstGeom>
                          <a:ln w="9525">
                            <a:solidFill>
                              <a:srgbClr val="000000"/>
                            </a:solidFill>
                            <a:headEnd/>
                            <a:tailEnd type="triangle"/>
                          </a:ln>
                        </wps:spPr>
                        <wps:bodyPr/>
                      </wps:wsp>
                      <wps:wsp xmlns:wps="http://schemas.microsoft.com/office/word/2010/wordprocessingShape">
                        <wps:cNvPr id="22" name="Line 17"/>
                        <wps:cNvCnPr/>
                        <wps:spPr>
                          <a:xfrm>
                            <a:off x="8460" y="3246"/>
                            <a:ext cx="0" cy="726"/>
                          </a:xfrm>
                          <a:prstGeom prst="line">
                            <a:avLst/>
                          </a:prstGeom>
                          <a:ln w="9525">
                            <a:solidFill>
                              <a:srgbClr val="000000"/>
                            </a:solidFill>
                            <a:headEnd/>
                            <a:tailEnd type="triangle"/>
                          </a:ln>
                        </wps:spPr>
                        <wps:bodyPr/>
                      </wps:wsp>
                      <wps:wsp xmlns:wps="http://schemas.microsoft.com/office/word/2010/wordprocessingShape">
                        <wps:cNvPr id="23" name="Line 18"/>
                        <wps:cNvCnPr/>
                        <wps:spPr>
                          <a:xfrm>
                            <a:off x="3258" y="4778"/>
                            <a:ext cx="5202" cy="0"/>
                          </a:xfrm>
                          <a:prstGeom prst="line">
                            <a:avLst/>
                          </a:prstGeom>
                          <a:ln w="9525">
                            <a:solidFill>
                              <a:srgbClr val="000000"/>
                            </a:solidFill>
                            <a:headEnd/>
                            <a:tailEnd/>
                          </a:ln>
                        </wps:spPr>
                        <wps:bodyPr/>
                      </wps:wsp>
                      <wps:wsp xmlns:wps="http://schemas.microsoft.com/office/word/2010/wordprocessingShape">
                        <wps:cNvPr id="24" name="Line 19"/>
                        <wps:cNvCnPr/>
                        <wps:spPr>
                          <a:xfrm>
                            <a:off x="3258" y="4399"/>
                            <a:ext cx="0" cy="369"/>
                          </a:xfrm>
                          <a:prstGeom prst="line">
                            <a:avLst/>
                          </a:prstGeom>
                          <a:ln w="9525">
                            <a:solidFill>
                              <a:srgbClr val="000000"/>
                            </a:solidFill>
                            <a:headEnd/>
                            <a:tailEnd/>
                          </a:ln>
                        </wps:spPr>
                        <wps:bodyPr/>
                      </wps:wsp>
                      <wps:wsp xmlns:wps="http://schemas.microsoft.com/office/word/2010/wordprocessingShape">
                        <wps:cNvPr id="25" name="Line 20"/>
                        <wps:cNvCnPr/>
                        <wps:spPr>
                          <a:xfrm>
                            <a:off x="8460" y="4397"/>
                            <a:ext cx="0" cy="369"/>
                          </a:xfrm>
                          <a:prstGeom prst="line">
                            <a:avLst/>
                          </a:prstGeom>
                          <a:ln w="9525">
                            <a:solidFill>
                              <a:srgbClr val="000000"/>
                            </a:solidFill>
                            <a:headEnd/>
                            <a:tailEnd/>
                          </a:ln>
                        </wps:spPr>
                        <wps:bodyPr/>
                      </wps:wsp>
                      <wps:wsp xmlns:wps="http://schemas.microsoft.com/office/word/2010/wordprocessingShape">
                        <wps:cNvPr id="26" name="Line 21"/>
                        <wps:cNvCnPr/>
                        <wps:spPr>
                          <a:xfrm>
                            <a:off x="6120" y="4386"/>
                            <a:ext cx="0" cy="1980"/>
                          </a:xfrm>
                          <a:prstGeom prst="line">
                            <a:avLst/>
                          </a:prstGeom>
                          <a:ln w="9525">
                            <a:solidFill>
                              <a:srgbClr val="000000"/>
                            </a:solidFill>
                            <a:headEnd/>
                            <a:tailEnd type="triangle"/>
                          </a:ln>
                        </wps:spPr>
                        <wps:bodyPr/>
                      </wps:wsp>
                      <wps:wsp xmlns:wps="http://schemas.microsoft.com/office/word/2010/wordprocessingShape">
                        <wps:cNvPr id="27" name="Text Box 22"/>
                        <wps:cNvSpPr txBox="1"/>
                        <wps:spPr>
                          <a:xfrm>
                            <a:off x="2762" y="5021"/>
                            <a:ext cx="2098" cy="702"/>
                          </a:xfrm>
                          <a:prstGeom prst="rect">
                            <a:avLst/>
                          </a:prstGeom>
                          <a:solidFill>
                            <a:srgbClr val="FFFFFF"/>
                          </a:solidFill>
                          <a:ln w="9525">
                            <a:solidFill>
                              <a:srgbClr val="000000"/>
                            </a:solidFill>
                            <a:miter lim="0"/>
                            <a:headEnd/>
                            <a:tailEnd/>
                          </a:ln>
                        </wps:spPr>
                        <wps:txbx>
                          <w:txbxContent>
                            <w:p w:rsidR="00312F60">
                              <w:pPr>
                                <w:pStyle w:val="NormalWeb"/>
                                <w:spacing w:line="240" w:lineRule="auto"/>
                                <w:jc w:val="center"/>
                                <w:rPr>
                                  <w:rFonts w:ascii="黑体" w:eastAsia="黑体" w:hAnsi="黑体" w:cs="黑体"/>
                                </w:rPr>
                              </w:pPr>
                              <w:r>
                                <w:rPr>
                                  <w:rFonts w:ascii="黑体" w:eastAsia="黑体" w:hAnsi="黑体" w:cs="黑体" w:hint="eastAsia"/>
                                  <w:color w:val="000000" w:themeColor="text1"/>
                                  <w:kern w:val="24"/>
                                  <w:sz w:val="20"/>
                                  <w:szCs w:val="20"/>
                                </w:rPr>
                                <w:t>省、市级环保规划目标和指标</w:t>
                              </w:r>
                            </w:p>
                            <w:p w:rsidR="00312F60">
                              <w:pPr>
                                <w:pStyle w:val="NormalWeb"/>
                              </w:pPr>
                            </w:p>
                          </w:txbxContent>
                        </wps:txbx>
                        <wps:bodyPr vert="horz" wrap="square" lIns="0" tIns="18000" rIns="0" bIns="18000" anchor="t" anchorCtr="1"/>
                      </wps:wsp>
                      <wps:wsp xmlns:wps="http://schemas.microsoft.com/office/word/2010/wordprocessingShape">
                        <wps:cNvPr id="28" name="Text Box 23"/>
                        <wps:cNvSpPr txBox="1"/>
                        <wps:spPr>
                          <a:xfrm>
                            <a:off x="7392" y="5021"/>
                            <a:ext cx="1620" cy="726"/>
                          </a:xfrm>
                          <a:prstGeom prst="rect">
                            <a:avLst/>
                          </a:prstGeom>
                          <a:solidFill>
                            <a:srgbClr val="FFFFFF"/>
                          </a:solidFill>
                          <a:ln w="9525">
                            <a:solidFill>
                              <a:srgbClr val="000000"/>
                            </a:solidFill>
                            <a:miter lim="0"/>
                            <a:headEnd/>
                            <a:tailEnd/>
                          </a:ln>
                        </wps:spPr>
                        <wps:txbx>
                          <w:txbxContent>
                            <w:p w:rsidR="00312F60">
                              <w:pPr>
                                <w:pStyle w:val="NormalWeb"/>
                                <w:spacing w:line="240" w:lineRule="auto"/>
                                <w:jc w:val="center"/>
                                <w:rPr>
                                  <w:rFonts w:ascii="黑体" w:eastAsia="黑体" w:hAnsi="黑体" w:cs="黑体"/>
                                </w:rPr>
                              </w:pPr>
                              <w:r>
                                <w:rPr>
                                  <w:rFonts w:ascii="黑体" w:eastAsia="黑体" w:hAnsi="黑体" w:cs="黑体" w:hint="eastAsia"/>
                                  <w:color w:val="000000" w:themeColor="text1"/>
                                  <w:kern w:val="24"/>
                                  <w:sz w:val="20"/>
                                  <w:szCs w:val="20"/>
                                </w:rPr>
                                <w:t>太仓市</w:t>
                              </w:r>
                              <w:r>
                                <w:rPr>
                                  <w:rFonts w:ascii="黑体" w:eastAsia="黑体" w:hAnsi="黑体" w:cs="黑体" w:hint="eastAsia"/>
                                  <w:color w:val="000000" w:themeColor="text1"/>
                                  <w:kern w:val="24"/>
                                  <w:sz w:val="20"/>
                                  <w:szCs w:val="20"/>
                                </w:rPr>
                                <w:t>经济社会发展规划</w:t>
                              </w:r>
                            </w:p>
                            <w:p w:rsidR="00312F60">
                              <w:pPr>
                                <w:pStyle w:val="NormalWeb"/>
                                <w:rPr>
                                  <w:rFonts w:ascii="黑体" w:eastAsia="黑体" w:hAnsi="黑体" w:cs="黑体"/>
                                </w:rPr>
                              </w:pPr>
                            </w:p>
                          </w:txbxContent>
                        </wps:txbx>
                        <wps:bodyPr vert="horz" wrap="square" lIns="0" tIns="18000" rIns="0" bIns="18000" anchor="t" anchorCtr="1"/>
                      </wps:wsp>
                      <wps:wsp xmlns:wps="http://schemas.microsoft.com/office/word/2010/wordprocessingShape">
                        <wps:cNvPr id="29" name="Line 24"/>
                        <wps:cNvCnPr/>
                        <wps:spPr>
                          <a:xfrm>
                            <a:off x="4860" y="5357"/>
                            <a:ext cx="1260" cy="0"/>
                          </a:xfrm>
                          <a:prstGeom prst="line">
                            <a:avLst/>
                          </a:prstGeom>
                          <a:ln w="9525">
                            <a:solidFill>
                              <a:srgbClr val="000000"/>
                            </a:solidFill>
                            <a:headEnd/>
                            <a:tailEnd type="triangle"/>
                          </a:ln>
                        </wps:spPr>
                        <wps:bodyPr/>
                      </wps:wsp>
                      <wps:wsp xmlns:wps="http://schemas.microsoft.com/office/word/2010/wordprocessingShape">
                        <wps:cNvPr id="30" name="Line 25"/>
                        <wps:cNvCnPr/>
                        <wps:spPr>
                          <a:xfrm>
                            <a:off x="6132" y="5357"/>
                            <a:ext cx="1260" cy="0"/>
                          </a:xfrm>
                          <a:prstGeom prst="line">
                            <a:avLst/>
                          </a:prstGeom>
                          <a:ln w="9525">
                            <a:solidFill>
                              <a:srgbClr val="000000"/>
                            </a:solidFill>
                            <a:headEnd type="triangle"/>
                            <a:tailEnd/>
                          </a:ln>
                        </wps:spPr>
                        <wps:bodyPr/>
                      </wps:wsp>
                      <wps:wsp xmlns:wps="http://schemas.microsoft.com/office/word/2010/wordprocessingShape">
                        <wps:cNvPr id="31" name="Text Box 26"/>
                        <wps:cNvSpPr txBox="1"/>
                        <wps:spPr>
                          <a:xfrm>
                            <a:off x="5040" y="6365"/>
                            <a:ext cx="2160" cy="397"/>
                          </a:xfrm>
                          <a:prstGeom prst="rect">
                            <a:avLst/>
                          </a:prstGeom>
                          <a:solidFill>
                            <a:srgbClr val="FFFFFF"/>
                          </a:solidFill>
                          <a:ln w="9525">
                            <a:solidFill>
                              <a:srgbClr val="000000"/>
                            </a:solidFill>
                            <a:miter lim="0"/>
                            <a:headEnd/>
                            <a:tailEnd/>
                          </a:ln>
                        </wps:spPr>
                        <wps:txbx>
                          <w:txbxContent>
                            <w:p w:rsidR="00312F60">
                              <w:pPr>
                                <w:pStyle w:val="NormalWeb"/>
                                <w:spacing w:line="240" w:lineRule="auto"/>
                                <w:jc w:val="center"/>
                                <w:rPr>
                                  <w:rFonts w:ascii="黑体" w:eastAsia="黑体" w:hAnsi="黑体" w:cs="黑体"/>
                                </w:rPr>
                              </w:pPr>
                              <w:r>
                                <w:rPr>
                                  <w:rFonts w:ascii="黑体" w:eastAsia="黑体" w:hAnsi="黑体" w:cs="黑体" w:hint="eastAsia"/>
                                  <w:color w:val="000000" w:themeColor="text1"/>
                                  <w:kern w:val="24"/>
                                  <w:sz w:val="20"/>
                                  <w:szCs w:val="20"/>
                                </w:rPr>
                                <w:t>规划目标和指标</w:t>
                              </w:r>
                            </w:p>
                            <w:p w:rsidR="00312F60">
                              <w:pPr>
                                <w:pStyle w:val="NormalWeb"/>
                                <w:rPr>
                                  <w:rFonts w:ascii="黑体" w:eastAsia="黑体" w:hAnsi="黑体" w:cs="黑体"/>
                                </w:rPr>
                              </w:pPr>
                            </w:p>
                          </w:txbxContent>
                        </wps:txbx>
                        <wps:bodyPr vert="horz" wrap="square" lIns="0" tIns="18000" rIns="0" bIns="18000" anchor="t" anchorCtr="1"/>
                      </wps:wsp>
                      <wps:wsp xmlns:wps="http://schemas.microsoft.com/office/word/2010/wordprocessingShape">
                        <wps:cNvPr id="32" name="Text Box 27"/>
                        <wps:cNvSpPr txBox="1"/>
                        <wps:spPr>
                          <a:xfrm>
                            <a:off x="5028" y="7266"/>
                            <a:ext cx="2160" cy="397"/>
                          </a:xfrm>
                          <a:prstGeom prst="rect">
                            <a:avLst/>
                          </a:prstGeom>
                          <a:solidFill>
                            <a:srgbClr val="FFFFFF"/>
                          </a:solidFill>
                          <a:ln w="9525">
                            <a:solidFill>
                              <a:srgbClr val="000000"/>
                            </a:solidFill>
                            <a:miter lim="0"/>
                            <a:headEnd/>
                            <a:tailEnd/>
                          </a:ln>
                        </wps:spPr>
                        <wps:txbx>
                          <w:txbxContent>
                            <w:p w:rsidR="00312F60">
                              <w:pPr>
                                <w:pStyle w:val="NormalWeb"/>
                                <w:spacing w:line="240" w:lineRule="auto"/>
                                <w:jc w:val="center"/>
                                <w:rPr>
                                  <w:rFonts w:ascii="黑体" w:eastAsia="黑体" w:hAnsi="黑体" w:cs="黑体"/>
                                </w:rPr>
                              </w:pPr>
                              <w:r>
                                <w:rPr>
                                  <w:rFonts w:ascii="黑体" w:eastAsia="黑体" w:hAnsi="黑体" w:cs="黑体" w:hint="eastAsia"/>
                                  <w:color w:val="000000" w:themeColor="text1"/>
                                  <w:kern w:val="24"/>
                                  <w:sz w:val="20"/>
                                  <w:szCs w:val="20"/>
                                </w:rPr>
                                <w:t>规划主要任务</w:t>
                              </w:r>
                            </w:p>
                            <w:p w:rsidR="00312F60">
                              <w:pPr>
                                <w:pStyle w:val="NormalWeb"/>
                                <w:rPr>
                                  <w:rFonts w:ascii="黑体" w:eastAsia="黑体" w:hAnsi="黑体" w:cs="黑体"/>
                                </w:rPr>
                              </w:pPr>
                            </w:p>
                          </w:txbxContent>
                        </wps:txbx>
                        <wps:bodyPr vert="horz" wrap="square" lIns="0" tIns="18000" rIns="0" bIns="18000" anchor="t" anchorCtr="1"/>
                      </wps:wsp>
                      <wps:wsp xmlns:wps="http://schemas.microsoft.com/office/word/2010/wordprocessingShape">
                        <wps:cNvPr id="33" name="Line 28"/>
                        <wps:cNvCnPr/>
                        <wps:spPr>
                          <a:xfrm>
                            <a:off x="6096" y="6765"/>
                            <a:ext cx="0" cy="499"/>
                          </a:xfrm>
                          <a:prstGeom prst="line">
                            <a:avLst/>
                          </a:prstGeom>
                          <a:ln w="9525">
                            <a:solidFill>
                              <a:srgbClr val="000000"/>
                            </a:solidFill>
                            <a:headEnd/>
                            <a:tailEnd type="triangle"/>
                          </a:ln>
                        </wps:spPr>
                        <wps:bodyPr/>
                      </wps:wsp>
                      <wps:wsp xmlns:wps="http://schemas.microsoft.com/office/word/2010/wordprocessingShape">
                        <wps:cNvPr id="34" name="Text Box 29"/>
                        <wps:cNvSpPr txBox="1"/>
                        <wps:spPr>
                          <a:xfrm>
                            <a:off x="5028" y="8166"/>
                            <a:ext cx="2160" cy="397"/>
                          </a:xfrm>
                          <a:prstGeom prst="rect">
                            <a:avLst/>
                          </a:prstGeom>
                          <a:solidFill>
                            <a:srgbClr val="FFFFFF"/>
                          </a:solidFill>
                          <a:ln w="9525">
                            <a:solidFill>
                              <a:srgbClr val="000000"/>
                            </a:solidFill>
                            <a:miter lim="0"/>
                            <a:headEnd/>
                            <a:tailEnd/>
                          </a:ln>
                        </wps:spPr>
                        <wps:txbx>
                          <w:txbxContent>
                            <w:p w:rsidR="00312F60">
                              <w:pPr>
                                <w:pStyle w:val="NormalWeb"/>
                                <w:spacing w:line="240" w:lineRule="auto"/>
                                <w:jc w:val="center"/>
                                <w:rPr>
                                  <w:rFonts w:ascii="黑体" w:eastAsia="黑体" w:hAnsi="黑体" w:cs="黑体"/>
                                </w:rPr>
                              </w:pPr>
                              <w:r>
                                <w:rPr>
                                  <w:rFonts w:ascii="黑体" w:eastAsia="黑体" w:hAnsi="黑体" w:cs="黑体" w:hint="eastAsia"/>
                                  <w:color w:val="000000" w:themeColor="text1"/>
                                  <w:kern w:val="24"/>
                                  <w:sz w:val="20"/>
                                  <w:szCs w:val="20"/>
                                </w:rPr>
                                <w:t>重点项目与投资</w:t>
                              </w:r>
                            </w:p>
                            <w:p w:rsidR="00312F60">
                              <w:pPr>
                                <w:pStyle w:val="NormalWeb"/>
                                <w:rPr>
                                  <w:rFonts w:ascii="黑体" w:eastAsia="黑体" w:hAnsi="黑体" w:cs="黑体"/>
                                </w:rPr>
                              </w:pPr>
                            </w:p>
                          </w:txbxContent>
                        </wps:txbx>
                        <wps:bodyPr vert="horz" wrap="square" lIns="0" tIns="18000" rIns="0" bIns="18000" anchor="t" anchorCtr="1"/>
                      </wps:wsp>
                      <wps:wsp xmlns:wps="http://schemas.microsoft.com/office/word/2010/wordprocessingShape">
                        <wps:cNvPr id="35" name="Line 30"/>
                        <wps:cNvCnPr/>
                        <wps:spPr>
                          <a:xfrm>
                            <a:off x="6096" y="7665"/>
                            <a:ext cx="0" cy="499"/>
                          </a:xfrm>
                          <a:prstGeom prst="line">
                            <a:avLst/>
                          </a:prstGeom>
                          <a:ln w="9525">
                            <a:solidFill>
                              <a:srgbClr val="000000"/>
                            </a:solidFill>
                            <a:headEnd/>
                            <a:tailEnd type="triangle"/>
                          </a:ln>
                        </wps:spPr>
                        <wps:bodyPr/>
                      </wps:wsp>
                      <wps:wsp xmlns:wps="http://schemas.microsoft.com/office/word/2010/wordprocessingShape">
                        <wps:cNvPr id="36" name="Line 32"/>
                        <wps:cNvCnPr/>
                        <wps:spPr>
                          <a:xfrm>
                            <a:off x="6108" y="8577"/>
                            <a:ext cx="0" cy="499"/>
                          </a:xfrm>
                          <a:prstGeom prst="line">
                            <a:avLst/>
                          </a:prstGeom>
                          <a:ln w="9525">
                            <a:solidFill>
                              <a:srgbClr val="000000"/>
                            </a:solidFill>
                            <a:headEnd/>
                            <a:tailEnd type="triangle"/>
                          </a:ln>
                        </wps:spPr>
                        <wps:bodyPr/>
                      </wps:wsp>
                      <wps:wsp xmlns:wps="http://schemas.microsoft.com/office/word/2010/wordprocessingShape">
                        <wps:cNvPr id="37" name="Text Box 33"/>
                        <wps:cNvSpPr txBox="1"/>
                        <wps:spPr>
                          <a:xfrm>
                            <a:off x="5028" y="9103"/>
                            <a:ext cx="2160" cy="397"/>
                          </a:xfrm>
                          <a:prstGeom prst="rect">
                            <a:avLst/>
                          </a:prstGeom>
                          <a:solidFill>
                            <a:srgbClr val="FFFFFF"/>
                          </a:solidFill>
                          <a:ln w="9525">
                            <a:solidFill>
                              <a:srgbClr val="000000"/>
                            </a:solidFill>
                            <a:miter lim="0"/>
                            <a:headEnd/>
                            <a:tailEnd/>
                          </a:ln>
                        </wps:spPr>
                        <wps:txbx>
                          <w:txbxContent>
                            <w:p w:rsidR="00312F60">
                              <w:pPr>
                                <w:pStyle w:val="NormalWeb"/>
                                <w:spacing w:line="240" w:lineRule="auto"/>
                                <w:jc w:val="center"/>
                                <w:rPr>
                                  <w:rFonts w:ascii="黑体" w:eastAsia="黑体" w:hAnsi="黑体" w:cs="黑体"/>
                                </w:rPr>
                              </w:pPr>
                              <w:r>
                                <w:rPr>
                                  <w:rFonts w:ascii="黑体" w:eastAsia="黑体" w:hAnsi="黑体" w:cs="黑体" w:hint="eastAsia"/>
                                  <w:color w:val="000000" w:themeColor="text1"/>
                                  <w:kern w:val="24"/>
                                  <w:sz w:val="20"/>
                                  <w:szCs w:val="20"/>
                                </w:rPr>
                                <w:t>保障措施</w:t>
                              </w:r>
                            </w:p>
                            <w:p w:rsidR="00312F60">
                              <w:pPr>
                                <w:pStyle w:val="NormalWeb"/>
                                <w:rPr>
                                  <w:rFonts w:ascii="黑体" w:eastAsia="黑体" w:hAnsi="黑体" w:cs="黑体"/>
                                </w:rPr>
                              </w:pPr>
                            </w:p>
                          </w:txbxContent>
                        </wps:txbx>
                        <wps:bodyPr vert="horz" wrap="square" lIns="0" tIns="18000" rIns="0" bIns="18000" anchor="t" anchorCtr="1"/>
                      </wps:wsp>
                    </wpg:wgp>
                  </a:graphicData>
                </a:graphic>
              </wp:anchor>
            </w:drawing>
          </mc:Choice>
          <mc:Fallback>
            <w:pict>
              <v:group id="组合 14" o:spid="_x0000_s1026" style="height:370.9pt;margin-left:0;margin-top:0;mso-position-horizontal:center;position:absolute;width:406.95pt;z-index:251664384" coordorigin="1648,2466" coordsize="8360,7034">
                <v:shapetype id="_x0000_t202" coordsize="21600,21600" o:spt="202" path="m,l,21600r21600,l21600,xe">
                  <v:stroke joinstyle="miter"/>
                  <v:path gradientshapeok="t" o:connecttype="rect"/>
                </v:shapetype>
                <v:shape id="Text Box 3" o:spid="_x0000_s1027" type="#_x0000_t202" style="height:397;left:1812;mso-wrap-style:square;position:absolute;top:2466;v-text-anchor:top-center;visibility:visible;width:1620">
                  <v:textbox inset="0,1.42pt,0,1.42pt">
                    <w:txbxContent>
                      <w:p w:rsidR="00312F60">
                        <w:pPr>
                          <w:pStyle w:val="NormalWeb"/>
                          <w:spacing w:line="240" w:lineRule="auto"/>
                          <w:jc w:val="center"/>
                          <w:rPr>
                            <w:rFonts w:ascii="黑体" w:eastAsia="黑体" w:hAnsi="黑体" w:cs="黑体"/>
                          </w:rPr>
                        </w:pPr>
                        <w:r>
                          <w:rPr>
                            <w:rFonts w:ascii="黑体" w:eastAsia="黑体" w:hAnsi="黑体" w:cs="黑体" w:hint="eastAsia"/>
                            <w:color w:val="000000" w:themeColor="text1"/>
                            <w:kern w:val="24"/>
                            <w:sz w:val="20"/>
                            <w:szCs w:val="20"/>
                          </w:rPr>
                          <w:t>环境现状分析</w:t>
                        </w:r>
                      </w:p>
                      <w:p w:rsidR="00312F60">
                        <w:pPr>
                          <w:pStyle w:val="NormalWeb"/>
                          <w:rPr>
                            <w:rFonts w:ascii="黑体" w:eastAsia="黑体" w:hAnsi="黑体" w:cs="黑体"/>
                          </w:rPr>
                        </w:pPr>
                      </w:p>
                    </w:txbxContent>
                  </v:textbox>
                </v:shape>
                <v:shape id="Text Box 4" o:spid="_x0000_s1028" type="#_x0000_t202" style="height:397;left:3576;mso-wrap-style:square;position:absolute;top:2466;v-text-anchor:top-center;visibility:visible;width:2700">
                  <v:textbox inset="0,1.42pt,0,1.42pt">
                    <w:txbxContent>
                      <w:p w:rsidR="00312F60">
                        <w:pPr>
                          <w:pStyle w:val="NormalWeb"/>
                          <w:spacing w:line="240" w:lineRule="auto"/>
                          <w:jc w:val="center"/>
                          <w:rPr>
                            <w:rFonts w:ascii="黑体" w:eastAsia="黑体" w:hAnsi="黑体" w:cs="黑体"/>
                          </w:rPr>
                        </w:pPr>
                        <w:r>
                          <w:rPr>
                            <w:rFonts w:ascii="黑体" w:eastAsia="黑体" w:hAnsi="黑体" w:cs="黑体" w:hint="eastAsia"/>
                            <w:color w:val="000000" w:themeColor="text1"/>
                            <w:kern w:val="24"/>
                            <w:sz w:val="20"/>
                            <w:szCs w:val="20"/>
                          </w:rPr>
                          <w:t>经济与环境关联性分析</w:t>
                        </w:r>
                      </w:p>
                      <w:p w:rsidR="00312F60">
                        <w:pPr>
                          <w:pStyle w:val="NormalWeb"/>
                          <w:rPr>
                            <w:rFonts w:ascii="黑体" w:eastAsia="黑体" w:hAnsi="黑体" w:cs="黑体"/>
                          </w:rPr>
                        </w:pPr>
                      </w:p>
                    </w:txbxContent>
                  </v:textbox>
                </v:shape>
                <v:shape id="Text Box 5" o:spid="_x0000_s1029" type="#_x0000_t202" style="height:397;left:6636;mso-wrap-style:square;position:absolute;top:2466;v-text-anchor:top-center;visibility:visible;width:1620">
                  <v:textbox inset="0,1.42pt,0,1.42pt">
                    <w:txbxContent>
                      <w:p w:rsidR="00312F60">
                        <w:pPr>
                          <w:pStyle w:val="NormalWeb"/>
                          <w:spacing w:line="240" w:lineRule="auto"/>
                          <w:jc w:val="center"/>
                          <w:rPr>
                            <w:rFonts w:ascii="黑体" w:eastAsia="黑体" w:hAnsi="黑体" w:cs="黑体"/>
                          </w:rPr>
                        </w:pPr>
                        <w:r>
                          <w:rPr>
                            <w:rFonts w:ascii="黑体" w:eastAsia="黑体" w:hAnsi="黑体" w:cs="黑体" w:hint="eastAsia"/>
                            <w:color w:val="000000" w:themeColor="text1"/>
                            <w:kern w:val="24"/>
                            <w:sz w:val="20"/>
                            <w:szCs w:val="20"/>
                          </w:rPr>
                          <w:t>管理现状分析</w:t>
                        </w:r>
                      </w:p>
                      <w:p w:rsidR="00312F60">
                        <w:pPr>
                          <w:pStyle w:val="NormalWeb"/>
                          <w:rPr>
                            <w:rFonts w:ascii="黑体" w:eastAsia="黑体" w:hAnsi="黑体" w:cs="黑体"/>
                          </w:rPr>
                        </w:pPr>
                      </w:p>
                    </w:txbxContent>
                  </v:textbox>
                </v:shape>
                <v:shape id="Text Box 6" o:spid="_x0000_s1030" type="#_x0000_t202" style="height:397;left:8388;mso-wrap-style:square;position:absolute;top:2478;v-text-anchor:top-center;visibility:visible;width:1620">
                  <v:textbox inset="0,1.42pt,0,1.42pt">
                    <w:txbxContent>
                      <w:p w:rsidR="00312F60">
                        <w:pPr>
                          <w:pStyle w:val="NormalWeb"/>
                          <w:spacing w:line="240" w:lineRule="auto"/>
                          <w:jc w:val="center"/>
                          <w:rPr>
                            <w:rFonts w:ascii="黑体" w:eastAsia="黑体" w:hAnsi="黑体" w:cs="黑体"/>
                          </w:rPr>
                        </w:pPr>
                        <w:r>
                          <w:rPr>
                            <w:rFonts w:ascii="黑体" w:eastAsia="黑体" w:hAnsi="黑体" w:cs="黑体" w:hint="eastAsia"/>
                            <w:color w:val="000000" w:themeColor="text1"/>
                            <w:kern w:val="24"/>
                            <w:sz w:val="20"/>
                            <w:szCs w:val="20"/>
                          </w:rPr>
                          <w:t>环境政策分析</w:t>
                        </w:r>
                      </w:p>
                      <w:p w:rsidR="00312F60">
                        <w:pPr>
                          <w:pStyle w:val="NormalWeb"/>
                        </w:pPr>
                      </w:p>
                    </w:txbxContent>
                  </v:textbox>
                </v:shape>
                <v:line id="Line 7" o:spid="_x0000_s1031" style="mso-wrap-style:square;position:absolute;visibility:visible" from="2574,3254" to="9204,3254" o:connectortype="straight"/>
                <v:line id="Line 8" o:spid="_x0000_s1032" style="mso-wrap-style:square;position:absolute;visibility:visible" from="2562,2876" to="2562,3245" o:connectortype="straight"/>
                <v:line id="Line 9" o:spid="_x0000_s1033" style="mso-wrap-style:square;position:absolute;visibility:visible" from="4704,2874" to="4704,3243" o:connectortype="straight"/>
                <v:line id="Line 10" o:spid="_x0000_s1034" style="mso-wrap-style:square;position:absolute;visibility:visible" from="7332,2874" to="7332,3243" o:connectortype="straight"/>
                <v:line id="Line 11" o:spid="_x0000_s1035" style="mso-wrap-style:square;position:absolute;visibility:visible" from="9204,2874" to="9204,3243" o:connectortype="straight"/>
                <v:shape id="Text Box 12" o:spid="_x0000_s1036" type="#_x0000_t202" style="height:397;left:1648;mso-wrap-style:square;position:absolute;top:3990;v-text-anchor:top-center;visibility:visible;width:3152">
                  <v:textbox inset="0,1.42pt,0,1.42pt">
                    <w:txbxContent>
                      <w:p w:rsidR="00312F60">
                        <w:pPr>
                          <w:pStyle w:val="NormalWeb"/>
                          <w:spacing w:line="240" w:lineRule="auto"/>
                          <w:jc w:val="center"/>
                          <w:rPr>
                            <w:rFonts w:ascii="黑体" w:eastAsia="黑体" w:hAnsi="黑体" w:cs="黑体"/>
                          </w:rPr>
                        </w:pPr>
                        <w:r>
                          <w:rPr>
                            <w:rFonts w:ascii="黑体" w:eastAsia="黑体" w:hAnsi="黑体" w:cs="黑体" w:hint="eastAsia"/>
                            <w:color w:val="000000" w:themeColor="text1"/>
                            <w:kern w:val="24"/>
                            <w:sz w:val="20"/>
                            <w:szCs w:val="20"/>
                          </w:rPr>
                          <w:t>“十四五”环境形势预测</w:t>
                        </w:r>
                      </w:p>
                      <w:p w:rsidR="00312F60">
                        <w:pPr>
                          <w:pStyle w:val="NormalWeb"/>
                        </w:pPr>
                      </w:p>
                    </w:txbxContent>
                  </v:textbox>
                </v:shape>
                <v:shape id="Text Box 13" o:spid="_x0000_s1037" type="#_x0000_t202" style="height:397;left:5052;mso-wrap-style:square;position:absolute;top:3990;v-text-anchor:top-center;visibility:visible;width:2160">
                  <v:textbox inset="0,1.42pt,0,1.42pt">
                    <w:txbxContent>
                      <w:p w:rsidR="00312F60">
                        <w:pPr>
                          <w:pStyle w:val="NormalWeb"/>
                          <w:spacing w:line="240" w:lineRule="auto"/>
                          <w:jc w:val="center"/>
                          <w:rPr>
                            <w:rFonts w:ascii="黑体" w:eastAsia="黑体" w:hAnsi="黑体" w:cs="黑体"/>
                          </w:rPr>
                        </w:pPr>
                        <w:r>
                          <w:rPr>
                            <w:rFonts w:ascii="黑体" w:eastAsia="黑体" w:hAnsi="黑体" w:cs="黑体" w:hint="eastAsia"/>
                            <w:color w:val="000000" w:themeColor="text1"/>
                            <w:kern w:val="24"/>
                            <w:sz w:val="20"/>
                            <w:szCs w:val="20"/>
                          </w:rPr>
                          <w:t>主要环境问题分析</w:t>
                        </w:r>
                      </w:p>
                      <w:p w:rsidR="00312F60">
                        <w:pPr>
                          <w:pStyle w:val="NormalWeb"/>
                          <w:rPr>
                            <w:rFonts w:ascii="黑体" w:eastAsia="黑体" w:hAnsi="黑体" w:cs="黑体"/>
                          </w:rPr>
                        </w:pPr>
                      </w:p>
                    </w:txbxContent>
                  </v:textbox>
                </v:shape>
                <v:shape id="Text Box 14" o:spid="_x0000_s1038" type="#_x0000_t202" style="height:397;left:7644;mso-wrap-style:square;position:absolute;top:3990;v-text-anchor:top-center;visibility:visible;width:1620">
                  <v:textbox inset="0,1.42pt,0,1.42pt">
                    <w:txbxContent>
                      <w:p w:rsidR="00312F60">
                        <w:pPr>
                          <w:pStyle w:val="NormalWeb"/>
                          <w:spacing w:line="240" w:lineRule="auto"/>
                          <w:jc w:val="center"/>
                          <w:rPr>
                            <w:rFonts w:ascii="黑体" w:eastAsia="黑体" w:hAnsi="黑体" w:cs="黑体"/>
                          </w:rPr>
                        </w:pPr>
                        <w:r>
                          <w:rPr>
                            <w:rFonts w:ascii="黑体" w:eastAsia="黑体" w:hAnsi="黑体" w:cs="黑体" w:hint="eastAsia"/>
                            <w:color w:val="000000" w:themeColor="text1"/>
                            <w:kern w:val="24"/>
                            <w:sz w:val="20"/>
                            <w:szCs w:val="20"/>
                          </w:rPr>
                          <w:t>主要经验总结</w:t>
                        </w:r>
                      </w:p>
                      <w:p w:rsidR="00312F60">
                        <w:pPr>
                          <w:pStyle w:val="NormalWeb"/>
                          <w:rPr>
                            <w:rFonts w:ascii="黑体" w:eastAsia="黑体" w:hAnsi="黑体" w:cs="黑体"/>
                          </w:rPr>
                        </w:pPr>
                      </w:p>
                    </w:txbxContent>
                  </v:textbox>
                </v:shape>
                <v:line id="Line 15" o:spid="_x0000_s1039" style="mso-wrap-style:square;position:absolute;visibility:visible" from="3270,3249" to="3270,3975" o:connectortype="straight">
                  <v:stroke endarrow="block"/>
                </v:line>
                <v:line id="Line 16" o:spid="_x0000_s1040" style="mso-wrap-style:square;position:absolute;visibility:visible" from="6120,3246" to="6120,3972" o:connectortype="straight">
                  <v:stroke endarrow="block"/>
                </v:line>
                <v:line id="Line 17" o:spid="_x0000_s1041" style="mso-wrap-style:square;position:absolute;visibility:visible" from="8460,3246" to="8460,3972" o:connectortype="straight">
                  <v:stroke endarrow="block"/>
                </v:line>
                <v:line id="Line 18" o:spid="_x0000_s1042" style="mso-wrap-style:square;position:absolute;visibility:visible" from="3258,4778" to="8460,4778" o:connectortype="straight"/>
                <v:line id="Line 19" o:spid="_x0000_s1043" style="mso-wrap-style:square;position:absolute;visibility:visible" from="3258,4399" to="3258,4768" o:connectortype="straight"/>
                <v:line id="Line 20" o:spid="_x0000_s1044" style="mso-wrap-style:square;position:absolute;visibility:visible" from="8460,4397" to="8460,4766" o:connectortype="straight"/>
                <v:line id="Line 21" o:spid="_x0000_s1045" style="mso-wrap-style:square;position:absolute;visibility:visible" from="6120,4386" to="6120,6366" o:connectortype="straight">
                  <v:stroke endarrow="block"/>
                </v:line>
                <v:shape id="Text Box 22" o:spid="_x0000_s1046" type="#_x0000_t202" style="height:702;left:2762;mso-wrap-style:square;position:absolute;top:5021;v-text-anchor:top-center;visibility:visible;width:2098">
                  <v:textbox inset="0,1.42pt,0,1.42pt">
                    <w:txbxContent>
                      <w:p w:rsidR="00312F60">
                        <w:pPr>
                          <w:pStyle w:val="NormalWeb"/>
                          <w:spacing w:line="240" w:lineRule="auto"/>
                          <w:jc w:val="center"/>
                          <w:rPr>
                            <w:rFonts w:ascii="黑体" w:eastAsia="黑体" w:hAnsi="黑体" w:cs="黑体"/>
                          </w:rPr>
                        </w:pPr>
                        <w:r>
                          <w:rPr>
                            <w:rFonts w:ascii="黑体" w:eastAsia="黑体" w:hAnsi="黑体" w:cs="黑体" w:hint="eastAsia"/>
                            <w:color w:val="000000" w:themeColor="text1"/>
                            <w:kern w:val="24"/>
                            <w:sz w:val="20"/>
                            <w:szCs w:val="20"/>
                          </w:rPr>
                          <w:t>省、市级环保规划目标和指标</w:t>
                        </w:r>
                      </w:p>
                      <w:p w:rsidR="00312F60">
                        <w:pPr>
                          <w:pStyle w:val="NormalWeb"/>
                        </w:pPr>
                      </w:p>
                    </w:txbxContent>
                  </v:textbox>
                </v:shape>
                <v:shape id="Text Box 23" o:spid="_x0000_s1047" type="#_x0000_t202" style="height:726;left:7392;mso-wrap-style:square;position:absolute;top:5021;v-text-anchor:top-center;visibility:visible;width:1620">
                  <v:textbox inset="0,1.42pt,0,1.42pt">
                    <w:txbxContent>
                      <w:p w:rsidR="00312F60">
                        <w:pPr>
                          <w:pStyle w:val="NormalWeb"/>
                          <w:spacing w:line="240" w:lineRule="auto"/>
                          <w:jc w:val="center"/>
                          <w:rPr>
                            <w:rFonts w:ascii="黑体" w:eastAsia="黑体" w:hAnsi="黑体" w:cs="黑体"/>
                          </w:rPr>
                        </w:pPr>
                        <w:r>
                          <w:rPr>
                            <w:rFonts w:ascii="黑体" w:eastAsia="黑体" w:hAnsi="黑体" w:cs="黑体" w:hint="eastAsia"/>
                            <w:color w:val="000000" w:themeColor="text1"/>
                            <w:kern w:val="24"/>
                            <w:sz w:val="20"/>
                            <w:szCs w:val="20"/>
                          </w:rPr>
                          <w:t>太仓市</w:t>
                        </w:r>
                        <w:r>
                          <w:rPr>
                            <w:rFonts w:ascii="黑体" w:eastAsia="黑体" w:hAnsi="黑体" w:cs="黑体" w:hint="eastAsia"/>
                            <w:color w:val="000000" w:themeColor="text1"/>
                            <w:kern w:val="24"/>
                            <w:sz w:val="20"/>
                            <w:szCs w:val="20"/>
                          </w:rPr>
                          <w:t>经济社会发展规划</w:t>
                        </w:r>
                      </w:p>
                      <w:p w:rsidR="00312F60">
                        <w:pPr>
                          <w:pStyle w:val="NormalWeb"/>
                          <w:rPr>
                            <w:rFonts w:ascii="黑体" w:eastAsia="黑体" w:hAnsi="黑体" w:cs="黑体"/>
                          </w:rPr>
                        </w:pPr>
                      </w:p>
                    </w:txbxContent>
                  </v:textbox>
                </v:shape>
                <v:line id="Line 24" o:spid="_x0000_s1048" style="mso-wrap-style:square;position:absolute;visibility:visible" from="4860,5357" to="6120,5357" o:connectortype="straight">
                  <v:stroke endarrow="block"/>
                </v:line>
                <v:line id="Line 25" o:spid="_x0000_s1049" style="mso-wrap-style:square;position:absolute;visibility:visible" from="6132,5357" to="7392,5357" o:connectortype="straight">
                  <v:stroke startarrow="block"/>
                </v:line>
                <v:shape id="Text Box 26" o:spid="_x0000_s1050" type="#_x0000_t202" style="height:397;left:5040;mso-wrap-style:square;position:absolute;top:6365;v-text-anchor:top-center;visibility:visible;width:2160">
                  <v:textbox inset="0,1.42pt,0,1.42pt">
                    <w:txbxContent>
                      <w:p w:rsidR="00312F60">
                        <w:pPr>
                          <w:pStyle w:val="NormalWeb"/>
                          <w:spacing w:line="240" w:lineRule="auto"/>
                          <w:jc w:val="center"/>
                          <w:rPr>
                            <w:rFonts w:ascii="黑体" w:eastAsia="黑体" w:hAnsi="黑体" w:cs="黑体"/>
                          </w:rPr>
                        </w:pPr>
                        <w:r>
                          <w:rPr>
                            <w:rFonts w:ascii="黑体" w:eastAsia="黑体" w:hAnsi="黑体" w:cs="黑体" w:hint="eastAsia"/>
                            <w:color w:val="000000" w:themeColor="text1"/>
                            <w:kern w:val="24"/>
                            <w:sz w:val="20"/>
                            <w:szCs w:val="20"/>
                          </w:rPr>
                          <w:t>规划目标和指标</w:t>
                        </w:r>
                      </w:p>
                      <w:p w:rsidR="00312F60">
                        <w:pPr>
                          <w:pStyle w:val="NormalWeb"/>
                          <w:rPr>
                            <w:rFonts w:ascii="黑体" w:eastAsia="黑体" w:hAnsi="黑体" w:cs="黑体"/>
                          </w:rPr>
                        </w:pPr>
                      </w:p>
                    </w:txbxContent>
                  </v:textbox>
                </v:shape>
                <v:shape id="Text Box 27" o:spid="_x0000_s1051" type="#_x0000_t202" style="height:397;left:5028;mso-wrap-style:square;position:absolute;top:7266;v-text-anchor:top-center;visibility:visible;width:2160">
                  <v:textbox inset="0,1.42pt,0,1.42pt">
                    <w:txbxContent>
                      <w:p w:rsidR="00312F60">
                        <w:pPr>
                          <w:pStyle w:val="NormalWeb"/>
                          <w:spacing w:line="240" w:lineRule="auto"/>
                          <w:jc w:val="center"/>
                          <w:rPr>
                            <w:rFonts w:ascii="黑体" w:eastAsia="黑体" w:hAnsi="黑体" w:cs="黑体"/>
                          </w:rPr>
                        </w:pPr>
                        <w:r>
                          <w:rPr>
                            <w:rFonts w:ascii="黑体" w:eastAsia="黑体" w:hAnsi="黑体" w:cs="黑体" w:hint="eastAsia"/>
                            <w:color w:val="000000" w:themeColor="text1"/>
                            <w:kern w:val="24"/>
                            <w:sz w:val="20"/>
                            <w:szCs w:val="20"/>
                          </w:rPr>
                          <w:t>规划主要任务</w:t>
                        </w:r>
                      </w:p>
                      <w:p w:rsidR="00312F60">
                        <w:pPr>
                          <w:pStyle w:val="NormalWeb"/>
                          <w:rPr>
                            <w:rFonts w:ascii="黑体" w:eastAsia="黑体" w:hAnsi="黑体" w:cs="黑体"/>
                          </w:rPr>
                        </w:pPr>
                      </w:p>
                    </w:txbxContent>
                  </v:textbox>
                </v:shape>
                <v:line id="Line 28" o:spid="_x0000_s1052" style="mso-wrap-style:square;position:absolute;visibility:visible" from="6096,6765" to="6096,7264" o:connectortype="straight">
                  <v:stroke endarrow="block"/>
                </v:line>
                <v:shape id="Text Box 29" o:spid="_x0000_s1053" type="#_x0000_t202" style="height:397;left:5028;mso-wrap-style:square;position:absolute;top:8166;v-text-anchor:top-center;visibility:visible;width:2160">
                  <v:textbox inset="0,1.42pt,0,1.42pt">
                    <w:txbxContent>
                      <w:p w:rsidR="00312F60">
                        <w:pPr>
                          <w:pStyle w:val="NormalWeb"/>
                          <w:spacing w:line="240" w:lineRule="auto"/>
                          <w:jc w:val="center"/>
                          <w:rPr>
                            <w:rFonts w:ascii="黑体" w:eastAsia="黑体" w:hAnsi="黑体" w:cs="黑体"/>
                          </w:rPr>
                        </w:pPr>
                        <w:r>
                          <w:rPr>
                            <w:rFonts w:ascii="黑体" w:eastAsia="黑体" w:hAnsi="黑体" w:cs="黑体" w:hint="eastAsia"/>
                            <w:color w:val="000000" w:themeColor="text1"/>
                            <w:kern w:val="24"/>
                            <w:sz w:val="20"/>
                            <w:szCs w:val="20"/>
                          </w:rPr>
                          <w:t>重点项目与投资</w:t>
                        </w:r>
                      </w:p>
                      <w:p w:rsidR="00312F60">
                        <w:pPr>
                          <w:pStyle w:val="NormalWeb"/>
                          <w:rPr>
                            <w:rFonts w:ascii="黑体" w:eastAsia="黑体" w:hAnsi="黑体" w:cs="黑体"/>
                          </w:rPr>
                        </w:pPr>
                      </w:p>
                    </w:txbxContent>
                  </v:textbox>
                </v:shape>
                <v:line id="Line 30" o:spid="_x0000_s1054" style="mso-wrap-style:square;position:absolute;visibility:visible" from="6096,7665" to="6096,8164" o:connectortype="straight">
                  <v:stroke endarrow="block"/>
                </v:line>
                <v:line id="Line 32" o:spid="_x0000_s1055" style="mso-wrap-style:square;position:absolute;visibility:visible" from="6108,8577" to="6108,9076" o:connectortype="straight">
                  <v:stroke endarrow="block"/>
                </v:line>
                <v:shape id="Text Box 33" o:spid="_x0000_s1056" type="#_x0000_t202" style="height:397;left:5028;mso-wrap-style:square;position:absolute;top:9103;v-text-anchor:top-center;visibility:visible;width:2160">
                  <v:textbox inset="0,1.42pt,0,1.42pt">
                    <w:txbxContent>
                      <w:p w:rsidR="00312F60">
                        <w:pPr>
                          <w:pStyle w:val="NormalWeb"/>
                          <w:spacing w:line="240" w:lineRule="auto"/>
                          <w:jc w:val="center"/>
                          <w:rPr>
                            <w:rFonts w:ascii="黑体" w:eastAsia="黑体" w:hAnsi="黑体" w:cs="黑体"/>
                          </w:rPr>
                        </w:pPr>
                        <w:r>
                          <w:rPr>
                            <w:rFonts w:ascii="黑体" w:eastAsia="黑体" w:hAnsi="黑体" w:cs="黑体" w:hint="eastAsia"/>
                            <w:color w:val="000000" w:themeColor="text1"/>
                            <w:kern w:val="24"/>
                            <w:sz w:val="20"/>
                            <w:szCs w:val="20"/>
                          </w:rPr>
                          <w:t>保障措施</w:t>
                        </w:r>
                      </w:p>
                      <w:p w:rsidR="00312F60">
                        <w:pPr>
                          <w:pStyle w:val="NormalWeb"/>
                          <w:rPr>
                            <w:rFonts w:ascii="黑体" w:eastAsia="黑体" w:hAnsi="黑体" w:cs="黑体"/>
                          </w:rPr>
                        </w:pPr>
                      </w:p>
                    </w:txbxContent>
                  </v:textbox>
                </v:shape>
              </v:group>
            </w:pict>
          </mc:Fallback>
        </mc:AlternateContent>
      </w:r>
    </w:p>
    <w:p w:rsidR="00B373FD">
      <w:pPr>
        <w:rPr>
          <w:rFonts w:ascii="Times New Roman Regular" w:eastAsia="黑体" w:hAnsi="Times New Roman Regular" w:cs="Times New Roman Regular"/>
          <w:sz w:val="28"/>
          <w:szCs w:val="28"/>
        </w:rPr>
      </w:pPr>
    </w:p>
    <w:p w:rsidR="00B373FD">
      <w:pPr>
        <w:pStyle w:val="a10"/>
        <w:ind w:firstLine="560"/>
        <w:rPr>
          <w:rFonts w:ascii="Times New Roman Regular" w:eastAsia="黑体" w:hAnsi="Times New Roman Regular" w:cs="Times New Roman Regular"/>
          <w:sz w:val="28"/>
          <w:szCs w:val="28"/>
        </w:rPr>
      </w:pPr>
    </w:p>
    <w:p w:rsidR="00B373FD">
      <w:pPr>
        <w:rPr>
          <w:rFonts w:ascii="Times New Roman Regular" w:eastAsia="黑体" w:hAnsi="Times New Roman Regular" w:cs="Times New Roman Regular"/>
          <w:sz w:val="28"/>
          <w:szCs w:val="28"/>
        </w:rPr>
      </w:pPr>
    </w:p>
    <w:p w:rsidR="00B373FD">
      <w:pPr>
        <w:pStyle w:val="a10"/>
        <w:ind w:firstLine="560"/>
        <w:rPr>
          <w:rFonts w:ascii="Times New Roman Regular" w:eastAsia="黑体" w:hAnsi="Times New Roman Regular" w:cs="Times New Roman Regular"/>
          <w:sz w:val="28"/>
          <w:szCs w:val="28"/>
        </w:rPr>
      </w:pPr>
    </w:p>
    <w:p w:rsidR="00B373FD">
      <w:pPr>
        <w:rPr>
          <w:rFonts w:ascii="Times New Roman Regular" w:eastAsia="黑体" w:hAnsi="Times New Roman Regular" w:cs="Times New Roman Regular"/>
          <w:sz w:val="28"/>
          <w:szCs w:val="28"/>
        </w:rPr>
      </w:pPr>
    </w:p>
    <w:p w:rsidR="00B373FD">
      <w:pPr>
        <w:pStyle w:val="a10"/>
        <w:ind w:firstLine="560"/>
        <w:rPr>
          <w:rFonts w:ascii="Times New Roman Regular" w:eastAsia="黑体" w:hAnsi="Times New Roman Regular" w:cs="Times New Roman Regular"/>
          <w:sz w:val="28"/>
          <w:szCs w:val="28"/>
        </w:rPr>
      </w:pPr>
    </w:p>
    <w:p w:rsidR="00B373FD">
      <w:pPr>
        <w:rPr>
          <w:rFonts w:ascii="Times New Roman Regular" w:eastAsia="黑体" w:hAnsi="Times New Roman Regular" w:cs="Times New Roman Regular"/>
          <w:sz w:val="28"/>
          <w:szCs w:val="28"/>
        </w:rPr>
      </w:pPr>
    </w:p>
    <w:p w:rsidR="00B373FD">
      <w:pPr>
        <w:pStyle w:val="a10"/>
        <w:ind w:firstLine="560"/>
        <w:rPr>
          <w:rFonts w:ascii="Times New Roman Regular" w:eastAsia="黑体" w:hAnsi="Times New Roman Regular" w:cs="Times New Roman Regular"/>
          <w:sz w:val="28"/>
          <w:szCs w:val="28"/>
        </w:rPr>
      </w:pPr>
    </w:p>
    <w:p w:rsidR="00B373FD">
      <w:pPr>
        <w:rPr>
          <w:rFonts w:ascii="Times New Roman Regular" w:hAnsi="Times New Roman Regular" w:cs="Times New Roman Regular"/>
        </w:rPr>
      </w:pPr>
    </w:p>
    <w:p w:rsidR="00B373FD">
      <w:pPr>
        <w:adjustRightInd w:val="0"/>
        <w:snapToGrid w:val="0"/>
        <w:spacing w:before="156" w:beforeLines="50"/>
        <w:jc w:val="center"/>
        <w:rPr>
          <w:rFonts w:ascii="Times New Roman Regular" w:eastAsia="黑体" w:hAnsi="Times New Roman Regular" w:cs="Times New Roman Regular"/>
          <w:sz w:val="28"/>
          <w:szCs w:val="28"/>
        </w:rPr>
      </w:pPr>
      <w:r>
        <w:rPr>
          <w:rFonts w:ascii="Times New Roman Regular" w:eastAsia="黑体" w:hAnsi="Times New Roman Regular" w:cs="Times New Roman Regular"/>
          <w:sz w:val="28"/>
          <w:szCs w:val="28"/>
        </w:rPr>
        <w:t xml:space="preserve">  </w:t>
      </w:r>
    </w:p>
    <w:p w:rsidR="00B373FD">
      <w:pPr>
        <w:adjustRightInd w:val="0"/>
        <w:snapToGrid w:val="0"/>
        <w:spacing w:before="156" w:beforeLines="50"/>
        <w:rPr>
          <w:rFonts w:ascii="Times New Roman Regular" w:eastAsia="黑体" w:hAnsi="Times New Roman Regular" w:cs="Times New Roman Regular"/>
          <w:sz w:val="28"/>
          <w:szCs w:val="28"/>
        </w:rPr>
      </w:pPr>
    </w:p>
    <w:p w:rsidR="00B373FD">
      <w:pPr>
        <w:adjustRightInd w:val="0"/>
        <w:snapToGrid w:val="0"/>
        <w:spacing w:before="156" w:beforeLines="50"/>
        <w:jc w:val="center"/>
        <w:rPr>
          <w:rFonts w:ascii="Times New Roman Regular" w:eastAsia="黑体" w:hAnsi="Times New Roman Regular" w:cs="Times New Roman Regular"/>
          <w:sz w:val="28"/>
          <w:szCs w:val="28"/>
        </w:rPr>
      </w:pPr>
      <w:r>
        <w:rPr>
          <w:rFonts w:ascii="Times New Roman Regular" w:eastAsia="黑体" w:hAnsi="Times New Roman Regular" w:cs="Times New Roman Regular"/>
          <w:sz w:val="28"/>
          <w:szCs w:val="28"/>
        </w:rPr>
        <w:t xml:space="preserve">    </w:t>
      </w:r>
      <w:r>
        <w:rPr>
          <w:rFonts w:ascii="Times New Roman Regular" w:eastAsia="黑体" w:hAnsi="Times New Roman Regular" w:cs="Times New Roman Regular"/>
          <w:sz w:val="28"/>
          <w:szCs w:val="28"/>
        </w:rPr>
        <w:t>图</w:t>
      </w:r>
      <w:r>
        <w:rPr>
          <w:rFonts w:ascii="Times New Roman Regular" w:eastAsia="黑体" w:hAnsi="Times New Roman Regular" w:cs="Times New Roman Regular"/>
          <w:sz w:val="28"/>
          <w:szCs w:val="28"/>
        </w:rPr>
        <w:t xml:space="preserve">1-1 </w:t>
      </w:r>
      <w:r>
        <w:rPr>
          <w:rFonts w:ascii="Times New Roman Regular" w:eastAsia="黑体" w:hAnsi="Times New Roman Regular" w:cs="Times New Roman Regular"/>
          <w:sz w:val="28"/>
          <w:szCs w:val="28"/>
        </w:rPr>
        <w:t>技术路线图</w:t>
      </w:r>
    </w:p>
    <w:p w:rsidR="00B373FD">
      <w:pPr>
        <w:adjustRightInd w:val="0"/>
        <w:snapToGrid w:val="0"/>
        <w:spacing w:after="156" w:afterLines="50"/>
        <w:ind w:firstLine="640" w:firstLineChars="200"/>
        <w:rPr>
          <w:rFonts w:ascii="Times New Roman Regular" w:eastAsia="黑体" w:hAnsi="Times New Roman Regular" w:cs="Times New Roman Regular"/>
          <w:sz w:val="28"/>
          <w:szCs w:val="28"/>
        </w:rPr>
        <w:sectPr>
          <w:headerReference w:type="even" r:id="rId18"/>
          <w:headerReference w:type="default" r:id="rId19"/>
          <w:footerReference w:type="default" r:id="rId20"/>
          <w:headerReference w:type="first" r:id="rId21"/>
          <w:pgSz w:w="11906" w:h="16838"/>
          <w:pgMar w:top="1440" w:right="1800" w:bottom="1440" w:left="1800" w:header="851" w:footer="992" w:gutter="0"/>
          <w:pgNumType w:start="1"/>
          <w:cols w:space="720"/>
          <w:docGrid w:type="lines" w:linePitch="312"/>
        </w:sectPr>
      </w:pPr>
    </w:p>
    <w:p w:rsidR="00B373FD">
      <w:pPr>
        <w:pStyle w:val="Heading1"/>
        <w:numPr>
          <w:ilvl w:val="0"/>
          <w:numId w:val="4"/>
        </w:numPr>
        <w:spacing w:before="156" w:after="156"/>
        <w:rPr>
          <w:rFonts w:ascii="Times New Roman Regular" w:hAnsi="Times New Roman Regular" w:cs="Times New Roman Regular"/>
        </w:rPr>
      </w:pPr>
      <w:bookmarkStart w:id="23" w:name="_Toc77862684"/>
      <w:r>
        <w:rPr>
          <w:rFonts w:ascii="Times New Roman Regular" w:hAnsi="Times New Roman Regular" w:cs="Times New Roman Regular"/>
        </w:rPr>
        <w:t>区域基础条件分析</w:t>
      </w:r>
      <w:bookmarkEnd w:id="23"/>
    </w:p>
    <w:p w:rsidR="00B373FD">
      <w:pPr>
        <w:pStyle w:val="Heading2"/>
        <w:numPr>
          <w:ilvl w:val="1"/>
          <w:numId w:val="4"/>
        </w:numPr>
        <w:spacing w:before="156" w:after="156"/>
        <w:rPr>
          <w:rFonts w:ascii="Times New Roman Regular" w:hAnsi="Times New Roman Regular" w:cs="Times New Roman Regular"/>
        </w:rPr>
      </w:pPr>
      <w:bookmarkStart w:id="24" w:name="_Toc77862685"/>
      <w:r>
        <w:rPr>
          <w:rFonts w:ascii="Times New Roman Regular" w:hAnsi="Times New Roman Regular" w:cs="Times New Roman Regular"/>
        </w:rPr>
        <w:t>自然资源特征</w:t>
      </w:r>
      <w:bookmarkEnd w:id="24"/>
    </w:p>
    <w:p w:rsidR="00B373FD">
      <w:pPr>
        <w:pStyle w:val="Heading3"/>
        <w:numPr>
          <w:ilvl w:val="2"/>
          <w:numId w:val="4"/>
        </w:numPr>
        <w:rPr>
          <w:rFonts w:ascii="Times New Roman Regular" w:hAnsi="Times New Roman Regular" w:cs="Times New Roman Regular"/>
        </w:rPr>
      </w:pPr>
      <w:r>
        <w:rPr>
          <w:rFonts w:ascii="Times New Roman Regular" w:hAnsi="Times New Roman Regular" w:cs="Times New Roman Regular"/>
        </w:rPr>
        <w:t>水系发达</w:t>
      </w:r>
    </w:p>
    <w:p w:rsidR="00B373FD" w:rsidRPr="00716193">
      <w:pPr>
        <w:adjustRightInd w:val="0"/>
        <w:snapToGrid w:val="0"/>
        <w:ind w:firstLine="640" w:firstLineChars="200"/>
        <w:rPr>
          <w:rFonts w:cs="Times New Roman Regular"/>
        </w:rPr>
      </w:pPr>
      <w:r w:rsidRPr="00716193">
        <w:rPr>
          <w:rFonts w:cs="Times New Roman Regular"/>
        </w:rPr>
        <w:t>太仓市紧邻长江，境内河流稠密，塘浦纵横交织，属于典型的江南水乡。全市水域面积</w:t>
      </w:r>
      <w:r w:rsidRPr="00716193">
        <w:rPr>
          <w:rFonts w:cs="Times New Roman Regular"/>
        </w:rPr>
        <w:t>211.512</w:t>
      </w:r>
      <w:r w:rsidRPr="00716193">
        <w:rPr>
          <w:rFonts w:cs="Times New Roman Regular"/>
        </w:rPr>
        <w:t>平方米，水面率为</w:t>
      </w:r>
      <w:r w:rsidRPr="00716193">
        <w:rPr>
          <w:rFonts w:cs="Times New Roman Regular"/>
        </w:rPr>
        <w:t>26.1%</w:t>
      </w:r>
      <w:r w:rsidRPr="00716193">
        <w:rPr>
          <w:rFonts w:cs="Times New Roman Regular"/>
        </w:rPr>
        <w:t>，其中长江水域面积</w:t>
      </w:r>
      <w:r w:rsidRPr="00716193">
        <w:rPr>
          <w:rFonts w:cs="Times New Roman Regular"/>
        </w:rPr>
        <w:t>143.733</w:t>
      </w:r>
      <w:r w:rsidRPr="00716193">
        <w:rPr>
          <w:rFonts w:cs="Times New Roman Regular"/>
        </w:rPr>
        <w:t>平方公里。全市拥有</w:t>
      </w:r>
      <w:r w:rsidRPr="00716193">
        <w:rPr>
          <w:rFonts w:cs="Times New Roman Regular"/>
        </w:rPr>
        <w:t>5</w:t>
      </w:r>
      <w:r w:rsidRPr="00716193">
        <w:rPr>
          <w:rFonts w:cs="Times New Roman Regular"/>
        </w:rPr>
        <w:t>条区域性河道，分别为浏河塘、杨林塘、七浦塘、新七浦塘、盐铁塘，总长度约</w:t>
      </w:r>
      <w:r w:rsidRPr="00716193">
        <w:rPr>
          <w:rFonts w:cs="Times New Roman Regular"/>
        </w:rPr>
        <w:t>126</w:t>
      </w:r>
      <w:r w:rsidRPr="00716193">
        <w:rPr>
          <w:rFonts w:cs="Times New Roman Regular"/>
        </w:rPr>
        <w:t>千米，在水资源利用、水环境保护及防洪排涝中作用显著。太仓市级河道有</w:t>
      </w:r>
      <w:r w:rsidRPr="00716193">
        <w:rPr>
          <w:rFonts w:cs="Times New Roman Regular"/>
        </w:rPr>
        <w:t>48</w:t>
      </w:r>
      <w:r w:rsidRPr="00716193">
        <w:rPr>
          <w:rFonts w:cs="Times New Roman Regular"/>
        </w:rPr>
        <w:t>条，包括新塘河、浪港、钱泾等，总长度约</w:t>
      </w:r>
      <w:r w:rsidRPr="00716193">
        <w:rPr>
          <w:rFonts w:cs="Times New Roman Regular"/>
        </w:rPr>
        <w:t>329</w:t>
      </w:r>
      <w:r w:rsidRPr="00716193">
        <w:rPr>
          <w:rFonts w:cs="Times New Roman Regular"/>
        </w:rPr>
        <w:t>千米，是全市引排的骨干河道。太仓市还有镇级、村级河道</w:t>
      </w:r>
      <w:r w:rsidRPr="00716193">
        <w:rPr>
          <w:rFonts w:cs="Times New Roman Regular"/>
        </w:rPr>
        <w:t>900</w:t>
      </w:r>
      <w:r w:rsidRPr="00716193">
        <w:rPr>
          <w:rFonts w:cs="Times New Roman Regular"/>
        </w:rPr>
        <w:t>余条，包括朝阳河、封张塘、老浏河、界河等，总长度超过</w:t>
      </w:r>
      <w:r w:rsidRPr="00716193">
        <w:rPr>
          <w:rFonts w:cs="Times New Roman Regular"/>
        </w:rPr>
        <w:t>1500</w:t>
      </w:r>
      <w:r w:rsidRPr="00716193">
        <w:rPr>
          <w:rFonts w:cs="Times New Roman Regular"/>
        </w:rPr>
        <w:t>千米，在水系沟通、引水灌溉等方面作用突出。</w:t>
      </w:r>
    </w:p>
    <w:p w:rsidR="00B373FD" w:rsidRPr="00716193">
      <w:pPr>
        <w:pStyle w:val="Heading3"/>
        <w:numPr>
          <w:ilvl w:val="2"/>
          <w:numId w:val="4"/>
        </w:numPr>
        <w:rPr>
          <w:rFonts w:cs="Times New Roman Regular"/>
        </w:rPr>
      </w:pPr>
      <w:r w:rsidRPr="00716193">
        <w:rPr>
          <w:rFonts w:cs="Times New Roman Regular"/>
        </w:rPr>
        <w:t>湿地资源丰富</w:t>
      </w:r>
    </w:p>
    <w:p w:rsidR="00B373FD" w:rsidRPr="00716193">
      <w:pPr>
        <w:adjustRightInd w:val="0"/>
        <w:snapToGrid w:val="0"/>
        <w:ind w:firstLine="640" w:firstLineChars="200"/>
        <w:rPr>
          <w:rFonts w:cs="Times New Roman Regular"/>
        </w:rPr>
      </w:pPr>
      <w:r w:rsidRPr="00716193">
        <w:rPr>
          <w:rFonts w:cs="Times New Roman Regular"/>
        </w:rPr>
        <w:t>太仓市位于苏州市北部沿江地区，湿地资源较为丰富。全市湿地资源主要分布在沿江、北部和西南部。根据第二次湿地资源普查，全市</w:t>
      </w:r>
      <w:r w:rsidRPr="00716193">
        <w:rPr>
          <w:rFonts w:cs="Times New Roman Regular"/>
        </w:rPr>
        <w:t>8</w:t>
      </w:r>
      <w:r w:rsidRPr="00716193">
        <w:rPr>
          <w:rFonts w:cs="Times New Roman Regular"/>
        </w:rPr>
        <w:t>公顷以上湿地斑块</w:t>
      </w:r>
      <w:r w:rsidRPr="00716193">
        <w:rPr>
          <w:rFonts w:cs="Times New Roman Regular"/>
        </w:rPr>
        <w:t>94</w:t>
      </w:r>
      <w:r w:rsidRPr="00716193">
        <w:rPr>
          <w:rFonts w:cs="Times New Roman Regular"/>
        </w:rPr>
        <w:t>块，湿地总面积</w:t>
      </w:r>
      <w:r w:rsidRPr="00716193">
        <w:rPr>
          <w:rFonts w:cs="Times New Roman Regular"/>
        </w:rPr>
        <w:t>18667.64</w:t>
      </w:r>
      <w:r w:rsidRPr="00716193">
        <w:rPr>
          <w:rFonts w:cs="Times New Roman Regular"/>
        </w:rPr>
        <w:t>公顷，占国土面积比重为</w:t>
      </w:r>
      <w:r w:rsidRPr="00716193">
        <w:rPr>
          <w:rFonts w:cs="Times New Roman Regular"/>
        </w:rPr>
        <w:t>22.68%</w:t>
      </w:r>
      <w:r w:rsidRPr="00716193">
        <w:rPr>
          <w:rFonts w:cs="Times New Roman Regular"/>
        </w:rPr>
        <w:t>。全市自然湿地</w:t>
      </w:r>
      <w:r w:rsidRPr="00716193">
        <w:rPr>
          <w:rFonts w:cs="Times New Roman Regular"/>
        </w:rPr>
        <w:t>15963.58</w:t>
      </w:r>
      <w:r w:rsidRPr="00716193">
        <w:rPr>
          <w:rFonts w:cs="Times New Roman Regular"/>
        </w:rPr>
        <w:t>公顷，占比为</w:t>
      </w:r>
      <w:r w:rsidRPr="00716193">
        <w:rPr>
          <w:rFonts w:cs="Times New Roman Regular"/>
        </w:rPr>
        <w:t>85.5%</w:t>
      </w:r>
      <w:r w:rsidRPr="00716193">
        <w:rPr>
          <w:rFonts w:cs="Times New Roman Regular"/>
        </w:rPr>
        <w:t>，受保护的自然湿地面积为</w:t>
      </w:r>
      <w:r w:rsidRPr="00716193">
        <w:rPr>
          <w:rFonts w:cs="Times New Roman Regular"/>
        </w:rPr>
        <w:t>11560.06</w:t>
      </w:r>
      <w:r w:rsidRPr="00716193">
        <w:rPr>
          <w:rFonts w:cs="Times New Roman Regular"/>
        </w:rPr>
        <w:t>公顷，其中：金仓湖省级湿地公园</w:t>
      </w:r>
      <w:r w:rsidRPr="00716193">
        <w:rPr>
          <w:rFonts w:cs="Times New Roman Regular"/>
        </w:rPr>
        <w:t>120.37</w:t>
      </w:r>
      <w:r w:rsidRPr="00716193">
        <w:rPr>
          <w:rFonts w:cs="Times New Roman Regular"/>
        </w:rPr>
        <w:t>公顷、长江保护小区</w:t>
      </w:r>
      <w:r w:rsidRPr="00716193">
        <w:rPr>
          <w:rFonts w:cs="Times New Roman Regular"/>
        </w:rPr>
        <w:t>10447.93</w:t>
      </w:r>
      <w:r w:rsidRPr="00716193">
        <w:rPr>
          <w:rFonts w:cs="Times New Roman Regular"/>
        </w:rPr>
        <w:t>公顷、长江水源保护区</w:t>
      </w:r>
      <w:r w:rsidRPr="00716193">
        <w:rPr>
          <w:rFonts w:cs="Times New Roman Regular"/>
        </w:rPr>
        <w:t>991.76</w:t>
      </w:r>
      <w:r w:rsidRPr="00716193">
        <w:rPr>
          <w:rFonts w:cs="Times New Roman Regular"/>
        </w:rPr>
        <w:t>公顷，自然湿地保护率达</w:t>
      </w:r>
      <w:r w:rsidRPr="00716193">
        <w:rPr>
          <w:rFonts w:cs="Times New Roman Regular"/>
        </w:rPr>
        <w:t>72.4%</w:t>
      </w:r>
      <w:r w:rsidRPr="00716193">
        <w:rPr>
          <w:rFonts w:cs="Times New Roman Regular"/>
        </w:rPr>
        <w:t>。</w:t>
      </w:r>
    </w:p>
    <w:p w:rsidR="00B373FD">
      <w:pPr>
        <w:pStyle w:val="Heading3"/>
        <w:numPr>
          <w:ilvl w:val="2"/>
          <w:numId w:val="4"/>
        </w:numPr>
        <w:rPr>
          <w:rFonts w:ascii="Times New Roman Regular" w:hAnsi="Times New Roman Regular" w:cs="Times New Roman Regular"/>
        </w:rPr>
      </w:pPr>
      <w:r>
        <w:rPr>
          <w:rFonts w:ascii="Times New Roman Regular" w:hAnsi="Times New Roman Regular" w:cs="Times New Roman Regular"/>
        </w:rPr>
        <w:t>长江岸线资源</w:t>
      </w:r>
    </w:p>
    <w:p w:rsidR="00B373FD" w:rsidRPr="00716193">
      <w:pPr>
        <w:adjustRightInd w:val="0"/>
        <w:snapToGrid w:val="0"/>
        <w:ind w:firstLine="640" w:firstLineChars="200"/>
        <w:rPr>
          <w:rFonts w:cs="Times New Roman Regular"/>
        </w:rPr>
      </w:pPr>
      <w:r w:rsidRPr="00716193">
        <w:rPr>
          <w:rFonts w:cs="Times New Roman Regular"/>
        </w:rPr>
        <w:t>太仓市境内长江干流长度</w:t>
      </w:r>
      <w:r w:rsidRPr="00716193">
        <w:rPr>
          <w:rFonts w:cs="Times New Roman Regular"/>
        </w:rPr>
        <w:t>36.02</w:t>
      </w:r>
      <w:r w:rsidRPr="00716193">
        <w:rPr>
          <w:rFonts w:cs="Times New Roman Regular"/>
        </w:rPr>
        <w:t>公里，主江堤长</w:t>
      </w:r>
      <w:r w:rsidRPr="00716193">
        <w:rPr>
          <w:rFonts w:cs="Times New Roman Regular"/>
        </w:rPr>
        <w:t>38.383</w:t>
      </w:r>
      <w:r w:rsidRPr="00716193">
        <w:rPr>
          <w:rFonts w:cs="Times New Roman Regular"/>
        </w:rPr>
        <w:t>公里，其中</w:t>
      </w:r>
      <w:r w:rsidRPr="00716193">
        <w:rPr>
          <w:rFonts w:cs="Times New Roman Regular"/>
        </w:rPr>
        <w:t>25</w:t>
      </w:r>
      <w:r w:rsidRPr="00716193">
        <w:rPr>
          <w:rFonts w:cs="Times New Roman Regular"/>
        </w:rPr>
        <w:t>公里深水岸线。</w:t>
      </w:r>
      <w:r w:rsidRPr="00716193">
        <w:rPr>
          <w:rFonts w:cs="Times New Roman Regular"/>
        </w:rPr>
        <w:t>1994</w:t>
      </w:r>
      <w:r w:rsidRPr="00716193">
        <w:rPr>
          <w:rFonts w:cs="Times New Roman Regular"/>
        </w:rPr>
        <w:t>年至</w:t>
      </w:r>
      <w:r w:rsidRPr="00716193">
        <w:rPr>
          <w:rFonts w:cs="Times New Roman Regular"/>
        </w:rPr>
        <w:t>2015</w:t>
      </w:r>
      <w:r w:rsidRPr="00716193">
        <w:rPr>
          <w:rFonts w:cs="Times New Roman Regular"/>
        </w:rPr>
        <w:t>年，经长江水利委员会批准分</w:t>
      </w:r>
      <w:r w:rsidRPr="00716193">
        <w:rPr>
          <w:rFonts w:cs="Times New Roman Regular"/>
        </w:rPr>
        <w:t>12</w:t>
      </w:r>
      <w:r w:rsidRPr="00716193">
        <w:rPr>
          <w:rFonts w:cs="Times New Roman Regular"/>
        </w:rPr>
        <w:t>批次实施了长江岸线整治工程，其中围滩工程</w:t>
      </w:r>
      <w:r w:rsidRPr="00716193">
        <w:rPr>
          <w:rFonts w:cs="Times New Roman Regular"/>
        </w:rPr>
        <w:t>9</w:t>
      </w:r>
      <w:r w:rsidRPr="00716193">
        <w:rPr>
          <w:rFonts w:cs="Times New Roman Regular"/>
        </w:rPr>
        <w:t>批次、水源地水库</w:t>
      </w:r>
      <w:r w:rsidRPr="00716193">
        <w:rPr>
          <w:rFonts w:cs="Times New Roman Regular"/>
        </w:rPr>
        <w:t>2</w:t>
      </w:r>
      <w:r w:rsidRPr="00716193">
        <w:rPr>
          <w:rFonts w:cs="Times New Roman Regular"/>
        </w:rPr>
        <w:t>座、华能电厂灰库</w:t>
      </w:r>
      <w:r w:rsidRPr="00716193">
        <w:rPr>
          <w:rFonts w:cs="Times New Roman Regular"/>
        </w:rPr>
        <w:t>1</w:t>
      </w:r>
      <w:r w:rsidRPr="00716193">
        <w:rPr>
          <w:rFonts w:cs="Times New Roman Regular"/>
        </w:rPr>
        <w:t>座，长度共计</w:t>
      </w:r>
      <w:r w:rsidRPr="00716193">
        <w:rPr>
          <w:rFonts w:cs="Times New Roman Regular"/>
        </w:rPr>
        <w:t>23.05km</w:t>
      </w:r>
      <w:r w:rsidRPr="00716193">
        <w:rPr>
          <w:rFonts w:cs="Times New Roman Regular"/>
        </w:rPr>
        <w:t>，占我市长江岸线长度</w:t>
      </w:r>
      <w:r w:rsidRPr="00716193">
        <w:rPr>
          <w:rFonts w:cs="Times New Roman Regular"/>
        </w:rPr>
        <w:t>60.1%</w:t>
      </w:r>
      <w:r w:rsidRPr="00716193">
        <w:rPr>
          <w:rFonts w:cs="Times New Roman Regular"/>
        </w:rPr>
        <w:t>。截至</w:t>
      </w:r>
      <w:r w:rsidRPr="00716193">
        <w:rPr>
          <w:rFonts w:cs="Times New Roman Regular"/>
        </w:rPr>
        <w:t>2020</w:t>
      </w:r>
      <w:r w:rsidRPr="00716193">
        <w:rPr>
          <w:rFonts w:cs="Times New Roman Regular"/>
        </w:rPr>
        <w:t>年，太仓港岸线已开发利用</w:t>
      </w:r>
      <w:r w:rsidRPr="00716193">
        <w:rPr>
          <w:rFonts w:cs="Times New Roman Regular"/>
        </w:rPr>
        <w:t>14.4km</w:t>
      </w:r>
      <w:r w:rsidRPr="00716193">
        <w:rPr>
          <w:rFonts w:cs="Times New Roman Regular"/>
        </w:rPr>
        <w:t>（含在建集装箱四期码头），占岸线总长度的</w:t>
      </w:r>
      <w:r w:rsidRPr="00716193">
        <w:rPr>
          <w:rFonts w:cs="Times New Roman Regular"/>
        </w:rPr>
        <w:t>37.2%</w:t>
      </w:r>
      <w:r w:rsidRPr="00716193">
        <w:rPr>
          <w:rFonts w:cs="Times New Roman Regular"/>
        </w:rPr>
        <w:t>。</w:t>
      </w:r>
    </w:p>
    <w:p w:rsidR="00B373FD">
      <w:pPr>
        <w:pStyle w:val="Heading2"/>
        <w:numPr>
          <w:ilvl w:val="1"/>
          <w:numId w:val="4"/>
        </w:numPr>
        <w:spacing w:before="156" w:after="156"/>
        <w:rPr>
          <w:rFonts w:ascii="Times New Roman Regular" w:hAnsi="Times New Roman Regular" w:cs="Times New Roman Regular"/>
        </w:rPr>
      </w:pPr>
      <w:bookmarkStart w:id="25" w:name="_Toc77862686"/>
      <w:r>
        <w:rPr>
          <w:rFonts w:ascii="Times New Roman Regular" w:hAnsi="Times New Roman Regular" w:cs="Times New Roman Regular"/>
        </w:rPr>
        <w:t>社会经济发展状况</w:t>
      </w:r>
      <w:bookmarkEnd w:id="25"/>
    </w:p>
    <w:p w:rsidR="00B373FD">
      <w:pPr>
        <w:pStyle w:val="Heading3"/>
        <w:numPr>
          <w:ilvl w:val="2"/>
          <w:numId w:val="4"/>
        </w:numPr>
        <w:rPr>
          <w:rFonts w:ascii="Times New Roman Regular" w:hAnsi="Times New Roman Regular" w:cs="Times New Roman Regular"/>
        </w:rPr>
      </w:pPr>
      <w:r>
        <w:rPr>
          <w:rFonts w:ascii="Times New Roman Regular" w:hAnsi="Times New Roman Regular" w:cs="Times New Roman Regular"/>
        </w:rPr>
        <w:t>人口及城镇化</w:t>
      </w:r>
    </w:p>
    <w:p w:rsidR="00B373FD">
      <w:pPr>
        <w:adjustRightInd w:val="0"/>
        <w:snapToGrid w:val="0"/>
        <w:ind w:firstLine="640" w:firstLineChars="200"/>
        <w:rPr>
          <w:rFonts w:ascii="Times New Roman Regular" w:eastAsia="仿宋" w:hAnsi="Times New Roman Regular" w:cs="Times New Roman Regular"/>
          <w:szCs w:val="32"/>
        </w:rPr>
      </w:pPr>
      <w:r>
        <w:rPr>
          <w:rFonts w:ascii="Times New Roman Regular" w:hAnsi="Times New Roman Regular" w:cs="Times New Roman Regular"/>
        </w:rPr>
        <w:t>2020</w:t>
      </w:r>
      <w:r>
        <w:rPr>
          <w:rFonts w:ascii="Times New Roman Regular" w:hAnsi="Times New Roman Regular" w:cs="Times New Roman Regular"/>
        </w:rPr>
        <w:t>年，太仓市户籍总人口</w:t>
      </w:r>
      <w:r>
        <w:rPr>
          <w:rFonts w:ascii="Times New Roman Regular" w:hAnsi="Times New Roman Regular" w:cs="Times New Roman Regular"/>
        </w:rPr>
        <w:t>51.05</w:t>
      </w:r>
      <w:r>
        <w:rPr>
          <w:rFonts w:ascii="Times New Roman Regular" w:hAnsi="Times New Roman Regular" w:cs="Times New Roman Regular"/>
        </w:rPr>
        <w:t>万人，常住人口</w:t>
      </w:r>
      <w:r>
        <w:rPr>
          <w:rFonts w:ascii="Times New Roman Regular" w:hAnsi="Times New Roman Regular" w:cs="Times New Roman Regular"/>
        </w:rPr>
        <w:t>83.11</w:t>
      </w:r>
      <w:r>
        <w:rPr>
          <w:rFonts w:ascii="Times New Roman Regular" w:hAnsi="Times New Roman Regular" w:cs="Times New Roman Regular"/>
        </w:rPr>
        <w:t>万人，其中城镇人口</w:t>
      </w:r>
      <w:r>
        <w:rPr>
          <w:rFonts w:ascii="Times New Roman Regular" w:hAnsi="Times New Roman Regular" w:cs="Times New Roman Regular"/>
        </w:rPr>
        <w:t>58.68</w:t>
      </w:r>
      <w:r>
        <w:rPr>
          <w:rFonts w:ascii="Times New Roman Regular" w:hAnsi="Times New Roman Regular" w:cs="Times New Roman Regular"/>
        </w:rPr>
        <w:t>万人，城镇化率</w:t>
      </w:r>
      <w:r>
        <w:rPr>
          <w:rFonts w:ascii="Times New Roman Regular" w:hAnsi="Times New Roman Regular" w:cs="Times New Roman Regular"/>
          <w:bCs/>
          <w:kern w:val="0"/>
          <w:szCs w:val="32"/>
        </w:rPr>
        <w:t>为</w:t>
      </w:r>
      <w:r>
        <w:rPr>
          <w:rFonts w:ascii="Times New Roman Regular" w:eastAsia="仿宋" w:hAnsi="Times New Roman Regular" w:cs="Times New Roman Regular"/>
          <w:szCs w:val="32"/>
        </w:rPr>
        <w:t>70.61%</w:t>
      </w:r>
      <w:r>
        <w:rPr>
          <w:rFonts w:ascii="Times New Roman Regular" w:eastAsia="仿宋" w:hAnsi="Times New Roman Regular" w:cs="Times New Roman Regular"/>
          <w:szCs w:val="32"/>
        </w:rPr>
        <w:t>。太仓市常住人口规模持续增加，较</w:t>
      </w:r>
      <w:r>
        <w:rPr>
          <w:rFonts w:ascii="Times New Roman Regular" w:eastAsia="仿宋" w:hAnsi="Times New Roman Regular" w:cs="Times New Roman Regular"/>
          <w:szCs w:val="32"/>
        </w:rPr>
        <w:t>2015</w:t>
      </w:r>
      <w:r>
        <w:rPr>
          <w:rFonts w:ascii="Times New Roman Regular" w:eastAsia="仿宋" w:hAnsi="Times New Roman Regular" w:cs="Times New Roman Regular"/>
          <w:szCs w:val="32"/>
        </w:rPr>
        <w:t>年增加了约</w:t>
      </w:r>
      <w:r>
        <w:rPr>
          <w:rFonts w:ascii="Times New Roman Regular" w:eastAsia="仿宋" w:hAnsi="Times New Roman Regular" w:cs="Times New Roman Regular"/>
          <w:szCs w:val="32"/>
        </w:rPr>
        <w:t>12.19</w:t>
      </w:r>
      <w:r>
        <w:rPr>
          <w:rFonts w:ascii="Times New Roman Regular" w:eastAsia="仿宋" w:hAnsi="Times New Roman Regular" w:cs="Times New Roman Regular"/>
          <w:szCs w:val="32"/>
        </w:rPr>
        <w:t>万人；城镇化率也逐年递增，较</w:t>
      </w:r>
      <w:r>
        <w:rPr>
          <w:rFonts w:ascii="Times New Roman Regular" w:eastAsia="仿宋" w:hAnsi="Times New Roman Regular" w:cs="Times New Roman Regular"/>
          <w:szCs w:val="32"/>
        </w:rPr>
        <w:t>2015</w:t>
      </w:r>
      <w:r>
        <w:rPr>
          <w:rFonts w:ascii="Times New Roman Regular" w:eastAsia="仿宋" w:hAnsi="Times New Roman Regular" w:cs="Times New Roman Regular"/>
          <w:szCs w:val="32"/>
        </w:rPr>
        <w:t>年提高了</w:t>
      </w:r>
      <w:r>
        <w:rPr>
          <w:rFonts w:ascii="Times New Roman Regular" w:eastAsia="仿宋" w:hAnsi="Times New Roman Regular" w:cs="Times New Roman Regular"/>
          <w:szCs w:val="32"/>
        </w:rPr>
        <w:t>4.3</w:t>
      </w:r>
      <w:r>
        <w:rPr>
          <w:rFonts w:ascii="Times New Roman Regular" w:eastAsia="仿宋" w:hAnsi="Times New Roman Regular" w:cs="Times New Roman Regular"/>
          <w:szCs w:val="32"/>
        </w:rPr>
        <w:t>个百分点，但城镇化率远低于苏州市平均水平（</w:t>
      </w:r>
      <w:r>
        <w:rPr>
          <w:rFonts w:ascii="Times New Roman Regular" w:eastAsia="仿宋" w:hAnsi="Times New Roman Regular" w:cs="Times New Roman Regular"/>
          <w:szCs w:val="32"/>
        </w:rPr>
        <w:t>81.72%</w:t>
      </w:r>
      <w:r>
        <w:rPr>
          <w:rFonts w:ascii="Times New Roman Regular" w:eastAsia="仿宋" w:hAnsi="Times New Roman Regular" w:cs="Times New Roman Regular"/>
          <w:szCs w:val="32"/>
        </w:rPr>
        <w:t>），城市化水平相对较低。</w:t>
      </w:r>
    </w:p>
    <w:p w:rsidR="00B373FD">
      <w:pPr>
        <w:adjustRightInd w:val="0"/>
        <w:snapToGrid w:val="0"/>
        <w:ind w:firstLine="640" w:firstLineChars="200"/>
        <w:rPr>
          <w:rFonts w:ascii="Times New Roman Regular" w:eastAsia="仿宋" w:hAnsi="Times New Roman Regular" w:cs="Times New Roman Regular"/>
          <w:szCs w:val="32"/>
        </w:rPr>
      </w:pPr>
      <w:r>
        <w:rPr>
          <w:rFonts w:ascii="Times New Roman Regular" w:hAnsi="Times New Roman Regular" w:cs="Times New Roman Regular"/>
          <w:noProof/>
        </w:rPr>
        <w:drawing>
          <wp:anchor distT="0" distB="0" distL="114300" distR="114300" simplePos="0" relativeHeight="251660288" behindDoc="0" locked="0" layoutInCell="1" allowOverlap="1">
            <wp:simplePos x="0" y="0"/>
            <wp:positionH relativeFrom="column">
              <wp:posOffset>428625</wp:posOffset>
            </wp:positionH>
            <wp:positionV relativeFrom="paragraph">
              <wp:posOffset>2540</wp:posOffset>
            </wp:positionV>
            <wp:extent cx="4556760" cy="2733040"/>
            <wp:effectExtent l="4445" t="4445" r="10795" b="5715"/>
            <wp:wrapNone/>
            <wp:docPr id="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B373FD">
      <w:pPr>
        <w:adjustRightInd w:val="0"/>
        <w:snapToGrid w:val="0"/>
        <w:ind w:firstLine="640" w:firstLineChars="200"/>
        <w:rPr>
          <w:rFonts w:ascii="Times New Roman Regular" w:eastAsia="仿宋" w:hAnsi="Times New Roman Regular" w:cs="Times New Roman Regular"/>
          <w:szCs w:val="32"/>
        </w:rPr>
      </w:pPr>
    </w:p>
    <w:p w:rsidR="00B373FD">
      <w:pPr>
        <w:adjustRightInd w:val="0"/>
        <w:snapToGrid w:val="0"/>
        <w:jc w:val="center"/>
        <w:rPr>
          <w:rFonts w:ascii="Times New Roman Regular" w:eastAsia="黑体" w:hAnsi="Times New Roman Regular" w:cs="Times New Roman Regular"/>
          <w:sz w:val="24"/>
          <w:szCs w:val="24"/>
          <w:highlight w:val="cyan"/>
        </w:rPr>
      </w:pPr>
    </w:p>
    <w:p w:rsidR="00B373FD">
      <w:pPr>
        <w:adjustRightInd w:val="0"/>
        <w:snapToGrid w:val="0"/>
        <w:spacing w:line="580" w:lineRule="exact"/>
        <w:jc w:val="center"/>
        <w:rPr>
          <w:rFonts w:ascii="Times New Roman Regular" w:eastAsia="黑体" w:hAnsi="Times New Roman Regular" w:cs="Times New Roman Regular"/>
          <w:sz w:val="28"/>
          <w:szCs w:val="24"/>
        </w:rPr>
      </w:pPr>
    </w:p>
    <w:p w:rsidR="00B373FD">
      <w:pPr>
        <w:adjustRightInd w:val="0"/>
        <w:snapToGrid w:val="0"/>
        <w:spacing w:line="580" w:lineRule="exact"/>
        <w:jc w:val="center"/>
        <w:rPr>
          <w:rFonts w:ascii="Times New Roman Regular" w:eastAsia="黑体" w:hAnsi="Times New Roman Regular" w:cs="Times New Roman Regular"/>
          <w:sz w:val="28"/>
          <w:szCs w:val="24"/>
        </w:rPr>
      </w:pPr>
    </w:p>
    <w:p w:rsidR="00B373FD">
      <w:pPr>
        <w:adjustRightInd w:val="0"/>
        <w:snapToGrid w:val="0"/>
        <w:spacing w:line="580" w:lineRule="exact"/>
        <w:jc w:val="center"/>
        <w:rPr>
          <w:rFonts w:ascii="Times New Roman Regular" w:eastAsia="黑体" w:hAnsi="Times New Roman Regular" w:cs="Times New Roman Regular"/>
          <w:sz w:val="28"/>
          <w:szCs w:val="24"/>
        </w:rPr>
      </w:pPr>
    </w:p>
    <w:p w:rsidR="00B373FD">
      <w:pPr>
        <w:adjustRightInd w:val="0"/>
        <w:snapToGrid w:val="0"/>
        <w:spacing w:line="580" w:lineRule="exact"/>
        <w:jc w:val="center"/>
        <w:rPr>
          <w:rFonts w:ascii="Times New Roman Regular" w:eastAsia="黑体" w:hAnsi="Times New Roman Regular" w:cs="Times New Roman Regular"/>
          <w:sz w:val="28"/>
          <w:szCs w:val="24"/>
        </w:rPr>
      </w:pPr>
    </w:p>
    <w:p w:rsidR="00B373FD">
      <w:pPr>
        <w:adjustRightInd w:val="0"/>
        <w:snapToGrid w:val="0"/>
        <w:spacing w:line="240" w:lineRule="auto"/>
        <w:jc w:val="center"/>
        <w:rPr>
          <w:rFonts w:ascii="Times New Roman Regular" w:eastAsia="黑体" w:hAnsi="Times New Roman Regular" w:cs="Times New Roman Regular"/>
          <w:sz w:val="28"/>
          <w:szCs w:val="24"/>
        </w:rPr>
      </w:pPr>
    </w:p>
    <w:p w:rsidR="00B373FD">
      <w:pPr>
        <w:adjustRightInd w:val="0"/>
        <w:snapToGrid w:val="0"/>
        <w:spacing w:line="240" w:lineRule="auto"/>
        <w:jc w:val="center"/>
        <w:rPr>
          <w:rFonts w:ascii="Times New Roman Regular" w:eastAsia="黑体" w:hAnsi="Times New Roman Regular" w:cs="Times New Roman Regular"/>
          <w:sz w:val="28"/>
          <w:szCs w:val="24"/>
        </w:rPr>
      </w:pPr>
      <w:r>
        <w:rPr>
          <w:rFonts w:ascii="Times New Roman Regular" w:eastAsia="黑体" w:hAnsi="Times New Roman Regular" w:cs="Times New Roman Regular"/>
          <w:sz w:val="28"/>
          <w:szCs w:val="24"/>
        </w:rPr>
        <w:t>图</w:t>
      </w:r>
      <w:r>
        <w:rPr>
          <w:rFonts w:ascii="Times New Roman Regular" w:eastAsia="黑体" w:hAnsi="Times New Roman Regular" w:cs="Times New Roman Regular"/>
          <w:sz w:val="28"/>
          <w:szCs w:val="24"/>
        </w:rPr>
        <w:t xml:space="preserve">2-1 </w:t>
      </w:r>
      <w:r w:rsidR="00323A1C">
        <w:rPr>
          <w:rFonts w:ascii="Times New Roman Regular" w:eastAsia="黑体" w:hAnsi="Times New Roman Regular" w:cs="Times New Roman Regular"/>
          <w:sz w:val="28"/>
          <w:szCs w:val="24"/>
        </w:rPr>
        <w:t>2016-2020</w:t>
      </w:r>
      <w:r w:rsidR="00323A1C">
        <w:rPr>
          <w:rFonts w:ascii="Times New Roman Regular" w:eastAsia="黑体" w:hAnsi="Times New Roman Regular" w:cs="Times New Roman Regular"/>
          <w:sz w:val="28"/>
          <w:szCs w:val="24"/>
        </w:rPr>
        <w:t>年</w:t>
      </w:r>
      <w:r>
        <w:rPr>
          <w:rFonts w:ascii="Times New Roman Regular" w:eastAsia="黑体" w:hAnsi="Times New Roman Regular" w:cs="Times New Roman Regular"/>
          <w:sz w:val="28"/>
          <w:szCs w:val="24"/>
        </w:rPr>
        <w:t>太仓市常住人口及城市化率变化情况</w:t>
      </w:r>
    </w:p>
    <w:p w:rsidR="00B373FD">
      <w:pPr>
        <w:pStyle w:val="Heading3"/>
        <w:numPr>
          <w:ilvl w:val="2"/>
          <w:numId w:val="4"/>
        </w:numPr>
        <w:rPr>
          <w:rFonts w:ascii="Times New Roman Regular" w:hAnsi="Times New Roman Regular" w:cs="Times New Roman Regular"/>
        </w:rPr>
      </w:pPr>
      <w:r>
        <w:rPr>
          <w:rFonts w:ascii="Times New Roman Regular" w:hAnsi="Times New Roman Regular" w:cs="Times New Roman Regular"/>
        </w:rPr>
        <w:t>经济发展</w:t>
      </w:r>
    </w:p>
    <w:p w:rsidR="00B373FD">
      <w:pPr>
        <w:adjustRightInd w:val="0"/>
        <w:snapToGrid w:val="0"/>
        <w:ind w:firstLine="640" w:firstLineChars="200"/>
        <w:rPr>
          <w:rFonts w:ascii="Times New Roman Regular" w:hAnsi="Times New Roman Regular" w:cs="Times New Roman Regular"/>
        </w:rPr>
      </w:pPr>
      <w:r>
        <w:rPr>
          <w:rFonts w:ascii="Times New Roman Regular" w:hAnsi="Times New Roman Regular" w:cs="Times New Roman Regular"/>
        </w:rPr>
        <w:t>“</w:t>
      </w:r>
      <w:r>
        <w:rPr>
          <w:rFonts w:ascii="Times New Roman Regular" w:hAnsi="Times New Roman Regular" w:cs="Times New Roman Regular"/>
        </w:rPr>
        <w:t>十三五</w:t>
      </w:r>
      <w:r>
        <w:rPr>
          <w:rFonts w:ascii="Times New Roman Regular" w:hAnsi="Times New Roman Regular" w:cs="Times New Roman Regular"/>
        </w:rPr>
        <w:t>”</w:t>
      </w:r>
      <w:r>
        <w:rPr>
          <w:rFonts w:ascii="Times New Roman Regular" w:hAnsi="Times New Roman Regular" w:cs="Times New Roman Regular"/>
        </w:rPr>
        <w:t>期间，太仓经济总量持续增长。</w:t>
      </w:r>
      <w:r>
        <w:rPr>
          <w:rFonts w:ascii="Times New Roman Regular" w:hAnsi="Times New Roman Regular" w:cs="Times New Roman Regular"/>
        </w:rPr>
        <w:t>2020</w:t>
      </w:r>
      <w:r>
        <w:rPr>
          <w:rFonts w:ascii="Times New Roman Regular" w:hAnsi="Times New Roman Regular" w:cs="Times New Roman Regular"/>
        </w:rPr>
        <w:t>年，全市实现地区生产总值</w:t>
      </w:r>
      <w:r>
        <w:rPr>
          <w:rFonts w:ascii="Times New Roman Regular" w:hAnsi="Times New Roman Regular" w:cs="Times New Roman Regular"/>
        </w:rPr>
        <w:t>1386.09</w:t>
      </w:r>
      <w:r>
        <w:rPr>
          <w:rFonts w:ascii="Times New Roman Regular" w:hAnsi="Times New Roman Regular" w:cs="Times New Roman Regular"/>
        </w:rPr>
        <w:t>亿元，年均增长</w:t>
      </w:r>
      <w:r>
        <w:rPr>
          <w:rFonts w:ascii="Times New Roman Regular" w:hAnsi="Times New Roman Regular" w:cs="Times New Roman Regular"/>
        </w:rPr>
        <w:t xml:space="preserve"> 6.5%</w:t>
      </w:r>
      <w:r>
        <w:rPr>
          <w:rFonts w:ascii="Times New Roman Regular" w:hAnsi="Times New Roman Regular" w:cs="Times New Roman Regular"/>
        </w:rPr>
        <w:t>，人均超</w:t>
      </w:r>
      <w:r>
        <w:rPr>
          <w:rFonts w:ascii="Times New Roman Regular" w:hAnsi="Times New Roman Regular" w:cs="Times New Roman Regular"/>
        </w:rPr>
        <w:t xml:space="preserve"> 19</w:t>
      </w:r>
      <w:r>
        <w:rPr>
          <w:rFonts w:ascii="Times New Roman Regular" w:hAnsi="Times New Roman Regular" w:cs="Times New Roman Regular"/>
        </w:rPr>
        <w:t>万元。第一产业增加值</w:t>
      </w:r>
      <w:r>
        <w:rPr>
          <w:rFonts w:ascii="Times New Roman Regular" w:hAnsi="Times New Roman Regular" w:cs="Times New Roman Regular"/>
        </w:rPr>
        <w:t>26.96</w:t>
      </w:r>
      <w:r>
        <w:rPr>
          <w:rFonts w:ascii="Times New Roman Regular" w:hAnsi="Times New Roman Regular" w:cs="Times New Roman Regular"/>
        </w:rPr>
        <w:t>亿元，占地区生产总值的比重为</w:t>
      </w:r>
      <w:r>
        <w:rPr>
          <w:rFonts w:ascii="Times New Roman Regular" w:hAnsi="Times New Roman Regular" w:cs="Times New Roman Regular"/>
        </w:rPr>
        <w:t>1.9%</w:t>
      </w:r>
      <w:r>
        <w:rPr>
          <w:rFonts w:ascii="Times New Roman Regular" w:hAnsi="Times New Roman Regular" w:cs="Times New Roman Regular"/>
        </w:rPr>
        <w:t>；第二产业增加值</w:t>
      </w:r>
      <w:r>
        <w:rPr>
          <w:rFonts w:ascii="Times New Roman Regular" w:hAnsi="Times New Roman Regular" w:cs="Times New Roman Regular"/>
        </w:rPr>
        <w:t>666.53</w:t>
      </w:r>
      <w:r>
        <w:rPr>
          <w:rFonts w:ascii="Times New Roman Regular" w:hAnsi="Times New Roman Regular" w:cs="Times New Roman Regular"/>
        </w:rPr>
        <w:t>亿元，占地区生产总值的比重为</w:t>
      </w:r>
      <w:r>
        <w:rPr>
          <w:rFonts w:ascii="Times New Roman Regular" w:hAnsi="Times New Roman Regular" w:cs="Times New Roman Regular"/>
        </w:rPr>
        <w:t>48.1%</w:t>
      </w:r>
      <w:r>
        <w:rPr>
          <w:rFonts w:ascii="Times New Roman Regular" w:hAnsi="Times New Roman Regular" w:cs="Times New Roman Regular"/>
        </w:rPr>
        <w:t>；第三产业增加值</w:t>
      </w:r>
      <w:r>
        <w:rPr>
          <w:rFonts w:ascii="Times New Roman Regular" w:hAnsi="Times New Roman Regular" w:cs="Times New Roman Regular"/>
        </w:rPr>
        <w:t>692.60</w:t>
      </w:r>
      <w:r>
        <w:rPr>
          <w:rFonts w:ascii="Times New Roman Regular" w:hAnsi="Times New Roman Regular" w:cs="Times New Roman Regular"/>
        </w:rPr>
        <w:t>亿元，占地区生产总值的比重为</w:t>
      </w:r>
      <w:r>
        <w:rPr>
          <w:rFonts w:ascii="Times New Roman Regular" w:hAnsi="Times New Roman Regular" w:cs="Times New Roman Regular"/>
        </w:rPr>
        <w:t>50.0%</w:t>
      </w:r>
      <w:r>
        <w:rPr>
          <w:rFonts w:ascii="Times New Roman Regular" w:hAnsi="Times New Roman Regular" w:cs="Times New Roman Regular"/>
        </w:rPr>
        <w:t>。</w:t>
      </w:r>
    </w:p>
    <w:p w:rsidR="00B373FD">
      <w:pPr>
        <w:adjustRightInd w:val="0"/>
        <w:snapToGrid w:val="0"/>
        <w:spacing w:line="580" w:lineRule="exact"/>
        <w:ind w:firstLine="640" w:firstLineChars="200"/>
        <w:rPr>
          <w:rFonts w:ascii="Times New Roman Regular" w:hAnsi="Times New Roman Regular" w:cs="Times New Roman Regular"/>
          <w:sz w:val="24"/>
          <w:szCs w:val="24"/>
          <w:highlight w:val="cyan"/>
        </w:rPr>
      </w:pPr>
      <w:r>
        <w:rPr>
          <w:rFonts w:ascii="Times New Roman Regular" w:hAnsi="Times New Roman Regular" w:cs="Times New Roman Regular"/>
        </w:rPr>
        <w:t>“</w:t>
      </w:r>
      <w:r>
        <w:rPr>
          <w:rFonts w:ascii="Times New Roman Regular" w:hAnsi="Times New Roman Regular" w:cs="Times New Roman Regular"/>
        </w:rPr>
        <w:t>十三五</w:t>
      </w:r>
      <w:r>
        <w:rPr>
          <w:rFonts w:ascii="Times New Roman Regular" w:hAnsi="Times New Roman Regular" w:cs="Times New Roman Regular"/>
        </w:rPr>
        <w:t>”</w:t>
      </w:r>
      <w:r>
        <w:rPr>
          <w:rFonts w:ascii="Times New Roman Regular" w:hAnsi="Times New Roman Regular" w:cs="Times New Roman Regular"/>
        </w:rPr>
        <w:t>期间，太仓市加强产业结构调整和优化升级，着力构建以战略性新兴产业为</w:t>
      </w:r>
      <w:r>
        <w:rPr>
          <w:rFonts w:ascii="Times New Roman Regular" w:hAnsi="Times New Roman Regular" w:cs="Times New Roman Regular" w:hint="eastAsia"/>
        </w:rPr>
        <w:t>引领</w:t>
      </w:r>
      <w:r>
        <w:rPr>
          <w:rFonts w:ascii="Times New Roman Regular" w:hAnsi="Times New Roman Regular" w:cs="Times New Roman Regular"/>
        </w:rPr>
        <w:t>、先进制造业为支撑、现代服务业为先导、现代农业为基础的现代产业体系，三产比重逐年</w:t>
      </w:r>
      <w:r>
        <w:rPr>
          <w:rFonts w:ascii="Times New Roman Regular" w:hAnsi="Times New Roman Regular" w:cs="Times New Roman Regular" w:hint="eastAsia"/>
        </w:rPr>
        <w:t>优化</w:t>
      </w:r>
      <w:r>
        <w:rPr>
          <w:rFonts w:ascii="Times New Roman Regular" w:hAnsi="Times New Roman Regular" w:cs="Times New Roman Regular"/>
        </w:rPr>
        <w:t>，结构调整呈现</w:t>
      </w:r>
      <w:r>
        <w:rPr>
          <w:rFonts w:ascii="Times New Roman Regular" w:hAnsi="Times New Roman Regular" w:cs="Times New Roman Regular"/>
        </w:rPr>
        <w:t>“</w:t>
      </w:r>
      <w:r>
        <w:rPr>
          <w:rFonts w:ascii="Times New Roman Regular" w:hAnsi="Times New Roman Regular" w:cs="Times New Roman Regular"/>
        </w:rPr>
        <w:t>新常态</w:t>
      </w:r>
      <w:r>
        <w:rPr>
          <w:rFonts w:ascii="Times New Roman Regular" w:hAnsi="Times New Roman Regular" w:cs="Times New Roman Regular"/>
        </w:rPr>
        <w:t>”</w:t>
      </w:r>
      <w:r>
        <w:rPr>
          <w:rFonts w:ascii="Times New Roman Regular" w:hAnsi="Times New Roman Regular" w:cs="Times New Roman Regular"/>
        </w:rPr>
        <w:t>。</w:t>
      </w:r>
      <w:r>
        <w:rPr>
          <w:rFonts w:ascii="Times New Roman Regular" w:hAnsi="Times New Roman Regular" w:cs="Times New Roman Regular" w:hint="eastAsia"/>
        </w:rPr>
        <w:t>三产比重由</w:t>
      </w:r>
      <w:r>
        <w:rPr>
          <w:rFonts w:ascii="Times New Roman Regular" w:hAnsi="Times New Roman Regular" w:cs="Times New Roman Regular" w:hint="eastAsia"/>
        </w:rPr>
        <w:t>3.2:50.5:46.5</w:t>
      </w:r>
      <w:r>
        <w:rPr>
          <w:rFonts w:ascii="Times New Roman Regular" w:hAnsi="Times New Roman Regular" w:cs="Times New Roman Regular" w:hint="eastAsia"/>
        </w:rPr>
        <w:t>变化为</w:t>
      </w:r>
      <w:r>
        <w:rPr>
          <w:rFonts w:ascii="Times New Roman Regular" w:hAnsi="Times New Roman Regular" w:cs="Times New Roman Regular" w:hint="eastAsia"/>
        </w:rPr>
        <w:t>1.9:48.1:50.0</w:t>
      </w:r>
      <w:r>
        <w:rPr>
          <w:rFonts w:ascii="Times New Roman Regular" w:hAnsi="Times New Roman Regular" w:cs="Times New Roman Regular" w:hint="eastAsia"/>
        </w:rPr>
        <w:t>。</w:t>
      </w:r>
    </w:p>
    <w:p w:rsidR="00B373FD">
      <w:pPr>
        <w:adjustRightInd w:val="0"/>
        <w:snapToGrid w:val="0"/>
        <w:spacing w:line="580" w:lineRule="exact"/>
        <w:jc w:val="center"/>
        <w:rPr>
          <w:rFonts w:ascii="Times New Roman Regular" w:eastAsia="黑体" w:hAnsi="Times New Roman Regular" w:cs="Times New Roman Regular"/>
          <w:sz w:val="28"/>
          <w:szCs w:val="24"/>
        </w:rPr>
      </w:pPr>
      <w:r>
        <w:rPr>
          <w:rFonts w:ascii="Times New Roman Regular" w:hAnsi="Times New Roman Regular" w:cs="Times New Roman Regular"/>
          <w:noProof/>
        </w:rPr>
        <w:drawing>
          <wp:anchor distT="0" distB="0" distL="114300" distR="114300" simplePos="0" relativeHeight="251659264" behindDoc="0" locked="0" layoutInCell="1" allowOverlap="1">
            <wp:simplePos x="0" y="0"/>
            <wp:positionH relativeFrom="page">
              <wp:posOffset>1466850</wp:posOffset>
            </wp:positionH>
            <wp:positionV relativeFrom="page">
              <wp:posOffset>5365750</wp:posOffset>
            </wp:positionV>
            <wp:extent cx="4647565" cy="2804160"/>
            <wp:effectExtent l="0" t="0" r="635" b="2540"/>
            <wp:wrapTopAndBottom/>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00C82635">
        <w:rPr>
          <w:rFonts w:ascii="Times New Roman Regular" w:eastAsia="黑体" w:hAnsi="Times New Roman Regular" w:cs="Times New Roman Regular"/>
          <w:sz w:val="28"/>
          <w:szCs w:val="24"/>
        </w:rPr>
        <w:t>图</w:t>
      </w:r>
      <w:r w:rsidR="00C82635">
        <w:rPr>
          <w:rFonts w:ascii="Times New Roman Regular" w:eastAsia="黑体" w:hAnsi="Times New Roman Regular" w:cs="Times New Roman Regular"/>
          <w:sz w:val="28"/>
          <w:szCs w:val="24"/>
        </w:rPr>
        <w:t xml:space="preserve">2-2 </w:t>
      </w:r>
      <w:r w:rsidR="00323A1C">
        <w:rPr>
          <w:rFonts w:ascii="Times New Roman Regular" w:eastAsia="黑体" w:hAnsi="Times New Roman Regular" w:cs="Times New Roman Regular"/>
          <w:sz w:val="28"/>
          <w:szCs w:val="24"/>
        </w:rPr>
        <w:t>2016-2020</w:t>
      </w:r>
      <w:r w:rsidR="00323A1C">
        <w:rPr>
          <w:rFonts w:ascii="Times New Roman Regular" w:eastAsia="黑体" w:hAnsi="Times New Roman Regular" w:cs="Times New Roman Regular"/>
          <w:sz w:val="28"/>
          <w:szCs w:val="24"/>
        </w:rPr>
        <w:t>年</w:t>
      </w:r>
      <w:r w:rsidR="00C82635">
        <w:rPr>
          <w:rFonts w:ascii="Times New Roman Regular" w:eastAsia="黑体" w:hAnsi="Times New Roman Regular" w:cs="Times New Roman Regular"/>
          <w:sz w:val="28"/>
          <w:szCs w:val="24"/>
        </w:rPr>
        <w:t>太仓市三产结构变化情况</w:t>
      </w:r>
    </w:p>
    <w:p w:rsidR="00B373FD">
      <w:pPr>
        <w:pStyle w:val="Heading2"/>
        <w:numPr>
          <w:ilvl w:val="1"/>
          <w:numId w:val="4"/>
        </w:numPr>
        <w:spacing w:before="156" w:after="156"/>
        <w:rPr>
          <w:rFonts w:ascii="Times New Roman Regular" w:hAnsi="Times New Roman Regular" w:cs="Times New Roman Regular"/>
        </w:rPr>
      </w:pPr>
      <w:bookmarkStart w:id="26" w:name="_Toc77862687"/>
      <w:r>
        <w:rPr>
          <w:rFonts w:ascii="Times New Roman Regular" w:hAnsi="Times New Roman Regular" w:cs="Times New Roman Regular"/>
        </w:rPr>
        <w:t>资源能源利用状况</w:t>
      </w:r>
      <w:bookmarkEnd w:id="26"/>
    </w:p>
    <w:p w:rsidR="00B373FD">
      <w:pPr>
        <w:pStyle w:val="Heading3"/>
        <w:numPr>
          <w:ilvl w:val="2"/>
          <w:numId w:val="4"/>
        </w:numPr>
        <w:rPr>
          <w:rFonts w:ascii="Times New Roman Regular" w:hAnsi="Times New Roman Regular" w:cs="Times New Roman Regular"/>
        </w:rPr>
      </w:pPr>
      <w:r>
        <w:rPr>
          <w:rFonts w:ascii="Times New Roman Regular" w:hAnsi="Times New Roman Regular" w:cs="Times New Roman Regular"/>
        </w:rPr>
        <w:t>水资源</w:t>
      </w:r>
    </w:p>
    <w:p w:rsidR="00B373FD">
      <w:pPr>
        <w:adjustRightInd w:val="0"/>
        <w:snapToGrid w:val="0"/>
        <w:ind w:firstLine="640" w:firstLineChars="200"/>
        <w:rPr>
          <w:rFonts w:ascii="Times New Roman Regular" w:hAnsi="Times New Roman Regular" w:cs="Times New Roman Regular"/>
        </w:rPr>
      </w:pPr>
      <w:r>
        <w:rPr>
          <w:rFonts w:ascii="Times New Roman Regular" w:hAnsi="Times New Roman Regular" w:cs="Times New Roman Regular"/>
        </w:rPr>
        <w:t>2019</w:t>
      </w:r>
      <w:r>
        <w:rPr>
          <w:rFonts w:ascii="Times New Roman Regular" w:hAnsi="Times New Roman Regular" w:cs="Times New Roman Regular"/>
        </w:rPr>
        <w:t>年，全市面平均降水量为</w:t>
      </w:r>
      <w:r>
        <w:rPr>
          <w:rFonts w:ascii="Times New Roman Regular" w:hAnsi="Times New Roman Regular" w:cs="Times New Roman Regular"/>
        </w:rPr>
        <w:t>1377.1</w:t>
      </w:r>
      <w:r>
        <w:rPr>
          <w:rFonts w:ascii="Times New Roman Regular" w:hAnsi="Times New Roman Regular" w:cs="Times New Roman Regular"/>
        </w:rPr>
        <w:t>毫米，折合降水总量为</w:t>
      </w:r>
      <w:r>
        <w:rPr>
          <w:rFonts w:ascii="Times New Roman Regular" w:hAnsi="Times New Roman Regular" w:cs="Times New Roman Regular"/>
        </w:rPr>
        <w:t>9.18</w:t>
      </w:r>
      <w:r>
        <w:rPr>
          <w:rFonts w:ascii="Times New Roman Regular" w:hAnsi="Times New Roman Regular" w:cs="Times New Roman Regular"/>
        </w:rPr>
        <w:t>亿立方米。全市地产水资源总量为</w:t>
      </w:r>
      <w:r>
        <w:rPr>
          <w:rFonts w:ascii="Times New Roman Regular" w:hAnsi="Times New Roman Regular" w:cs="Times New Roman Regular"/>
        </w:rPr>
        <w:t>3.869</w:t>
      </w:r>
      <w:r>
        <w:rPr>
          <w:rFonts w:ascii="Times New Roman Regular" w:hAnsi="Times New Roman Regular" w:cs="Times New Roman Regular"/>
        </w:rPr>
        <w:t>亿立方米，其中地表水资源量为</w:t>
      </w:r>
      <w:r>
        <w:rPr>
          <w:rFonts w:ascii="Times New Roman Regular" w:hAnsi="Times New Roman Regular" w:cs="Times New Roman Regular"/>
        </w:rPr>
        <w:t>3.427</w:t>
      </w:r>
      <w:r>
        <w:rPr>
          <w:rFonts w:ascii="Times New Roman Regular" w:hAnsi="Times New Roman Regular" w:cs="Times New Roman Regular"/>
        </w:rPr>
        <w:t>亿立方米，地下水资源量为</w:t>
      </w:r>
      <w:r>
        <w:rPr>
          <w:rFonts w:ascii="Times New Roman Regular" w:hAnsi="Times New Roman Regular" w:cs="Times New Roman Regular"/>
        </w:rPr>
        <w:t>1.287</w:t>
      </w:r>
      <w:r>
        <w:rPr>
          <w:rFonts w:ascii="Times New Roman Regular" w:hAnsi="Times New Roman Regular" w:cs="Times New Roman Regular"/>
        </w:rPr>
        <w:t>亿立方米。</w:t>
      </w:r>
    </w:p>
    <w:p w:rsidR="00B373FD">
      <w:pPr>
        <w:adjustRightInd w:val="0"/>
        <w:snapToGrid w:val="0"/>
        <w:ind w:firstLine="640" w:firstLineChars="200"/>
        <w:rPr>
          <w:rFonts w:ascii="Times New Roman Regular" w:hAnsi="Times New Roman Regular" w:cs="Times New Roman Regular"/>
        </w:rPr>
      </w:pPr>
      <w:r>
        <w:rPr>
          <w:rFonts w:ascii="Times New Roman Regular" w:hAnsi="Times New Roman Regular" w:cs="Times New Roman Regular"/>
        </w:rPr>
        <w:t>近年来，全市总用水量呈下降趋势。</w:t>
      </w:r>
      <w:r>
        <w:rPr>
          <w:rFonts w:ascii="Times New Roman Regular" w:hAnsi="Times New Roman Regular" w:cs="Times New Roman Regular"/>
        </w:rPr>
        <w:t>2020</w:t>
      </w:r>
      <w:r>
        <w:rPr>
          <w:rFonts w:ascii="Times New Roman Regular" w:hAnsi="Times New Roman Regular" w:cs="Times New Roman Regular"/>
        </w:rPr>
        <w:t>年，全市总用水量为</w:t>
      </w:r>
      <w:r>
        <w:rPr>
          <w:rFonts w:ascii="Times New Roman Regular" w:hAnsi="Times New Roman Regular" w:cs="Times New Roman Regular"/>
        </w:rPr>
        <w:t>252372</w:t>
      </w:r>
      <w:r>
        <w:rPr>
          <w:rFonts w:ascii="Times New Roman Regular" w:hAnsi="Times New Roman Regular" w:cs="Times New Roman Regular"/>
        </w:rPr>
        <w:t>万立方米，主要由于火电用水量较高。从用水结构看，用水主要包括农业用水、工业用水和生活用水。</w:t>
      </w:r>
    </w:p>
    <w:p w:rsidR="00B373FD">
      <w:pPr>
        <w:pStyle w:val="Heading3"/>
        <w:numPr>
          <w:ilvl w:val="2"/>
          <w:numId w:val="4"/>
        </w:numPr>
        <w:rPr>
          <w:rFonts w:ascii="Times New Roman Regular" w:hAnsi="Times New Roman Regular" w:cs="Times New Roman Regular"/>
        </w:rPr>
      </w:pPr>
      <w:r>
        <w:rPr>
          <w:rFonts w:ascii="Times New Roman Regular" w:hAnsi="Times New Roman Regular" w:cs="Times New Roman Regular"/>
        </w:rPr>
        <w:t>能源资源</w:t>
      </w:r>
    </w:p>
    <w:p w:rsidR="00B373FD">
      <w:pPr>
        <w:adjustRightInd w:val="0"/>
        <w:snapToGrid w:val="0"/>
        <w:ind w:firstLine="640" w:firstLineChars="200"/>
        <w:rPr>
          <w:rFonts w:ascii="Times New Roman Regular" w:hAnsi="Times New Roman Regular" w:cs="Times New Roman Regular"/>
        </w:rPr>
      </w:pPr>
      <w:r>
        <w:rPr>
          <w:rFonts w:ascii="Times New Roman Regular" w:hAnsi="Times New Roman Regular" w:cs="Times New Roman Regular"/>
        </w:rPr>
        <w:t>太仓自身能源资源贫乏，本底能源资源以少量可再生能源为主，煤炭、石油和天然气几乎完全依赖外部供应，本地自给率底，是典型的能源输入端城市。</w:t>
      </w:r>
    </w:p>
    <w:p w:rsidR="00B373FD">
      <w:pPr>
        <w:adjustRightInd w:val="0"/>
        <w:snapToGrid w:val="0"/>
        <w:ind w:firstLine="640" w:firstLineChars="200"/>
        <w:rPr>
          <w:rFonts w:ascii="Times New Roman Regular" w:hAnsi="Times New Roman Regular" w:cs="Times New Roman Regular"/>
        </w:rPr>
      </w:pPr>
      <w:r>
        <w:rPr>
          <w:rFonts w:ascii="Times New Roman Regular" w:hAnsi="Times New Roman Regular" w:cs="Times New Roman Regular"/>
        </w:rPr>
        <w:t>太仓市工业的能源消费按种类分，有煤炭、燃料油、天然气、电及其他燃料。</w:t>
      </w:r>
      <w:r>
        <w:rPr>
          <w:rFonts w:ascii="Times New Roman Regular" w:hAnsi="Times New Roman Regular" w:cs="Times New Roman Regular"/>
        </w:rPr>
        <w:t xml:space="preserve">2020 </w:t>
      </w:r>
      <w:r>
        <w:rPr>
          <w:rFonts w:ascii="Times New Roman Regular" w:hAnsi="Times New Roman Regular" w:cs="Times New Roman Regular"/>
        </w:rPr>
        <w:t>年全市燃煤总量为</w:t>
      </w:r>
      <w:r>
        <w:rPr>
          <w:rFonts w:ascii="Times New Roman Regular" w:hAnsi="Times New Roman Regular" w:cs="Times New Roman Regular"/>
        </w:rPr>
        <w:t xml:space="preserve"> 1144.7 </w:t>
      </w:r>
      <w:r>
        <w:rPr>
          <w:rFonts w:ascii="Times New Roman Regular" w:hAnsi="Times New Roman Regular" w:cs="Times New Roman Regular"/>
        </w:rPr>
        <w:t>万吨，与</w:t>
      </w:r>
      <w:r>
        <w:rPr>
          <w:rFonts w:ascii="Times New Roman Regular" w:hAnsi="Times New Roman Regular" w:cs="Times New Roman Regular"/>
        </w:rPr>
        <w:t xml:space="preserve"> 2019 </w:t>
      </w:r>
      <w:r>
        <w:rPr>
          <w:rFonts w:ascii="Times New Roman Regular" w:hAnsi="Times New Roman Regular" w:cs="Times New Roman Regular"/>
        </w:rPr>
        <w:t>年相比，煤炭消费量下降了</w:t>
      </w:r>
      <w:r>
        <w:rPr>
          <w:rFonts w:ascii="Times New Roman Regular" w:hAnsi="Times New Roman Regular" w:cs="Times New Roman Regular"/>
        </w:rPr>
        <w:t xml:space="preserve"> 116.4 </w:t>
      </w:r>
      <w:r>
        <w:rPr>
          <w:rFonts w:ascii="Times New Roman Regular" w:hAnsi="Times New Roman Regular" w:cs="Times New Roman Regular"/>
        </w:rPr>
        <w:t>万吨。火力发电业是全市煤炭消费的主要行业，占</w:t>
      </w:r>
      <w:r>
        <w:rPr>
          <w:rFonts w:ascii="Times New Roman Regular" w:hAnsi="Times New Roman Regular" w:cs="Times New Roman Regular"/>
        </w:rPr>
        <w:t xml:space="preserve"> 59.6%</w:t>
      </w:r>
      <w:r>
        <w:rPr>
          <w:rFonts w:ascii="Times New Roman Regular" w:hAnsi="Times New Roman Regular" w:cs="Times New Roman Regular"/>
        </w:rPr>
        <w:t>；其次是热电联产业、机械纸及纸板制造业，分别占</w:t>
      </w:r>
      <w:r>
        <w:rPr>
          <w:rFonts w:ascii="Times New Roman Regular" w:hAnsi="Times New Roman Regular" w:cs="Times New Roman Regular"/>
        </w:rPr>
        <w:t>29.1%</w:t>
      </w:r>
      <w:r>
        <w:rPr>
          <w:rFonts w:ascii="Times New Roman Regular" w:hAnsi="Times New Roman Regular" w:cs="Times New Roman Regular"/>
        </w:rPr>
        <w:t>、</w:t>
      </w:r>
      <w:r>
        <w:rPr>
          <w:rFonts w:ascii="Times New Roman Regular" w:hAnsi="Times New Roman Regular" w:cs="Times New Roman Regular"/>
        </w:rPr>
        <w:t>10.9%</w:t>
      </w:r>
      <w:r>
        <w:rPr>
          <w:rFonts w:ascii="Times New Roman Regular" w:hAnsi="Times New Roman Regular" w:cs="Times New Roman Regular"/>
        </w:rPr>
        <w:t>。燃料油消费量为</w:t>
      </w:r>
      <w:r>
        <w:rPr>
          <w:rFonts w:ascii="Times New Roman Regular" w:hAnsi="Times New Roman Regular" w:cs="Times New Roman Regular"/>
        </w:rPr>
        <w:t xml:space="preserve"> 1141.6 </w:t>
      </w:r>
      <w:r>
        <w:rPr>
          <w:rFonts w:ascii="Times New Roman Regular" w:hAnsi="Times New Roman Regular" w:cs="Times New Roman Regular"/>
        </w:rPr>
        <w:t>万吨，天然气消费量为</w:t>
      </w:r>
      <w:r>
        <w:rPr>
          <w:rFonts w:ascii="Times New Roman Regular" w:hAnsi="Times New Roman Regular" w:cs="Times New Roman Regular"/>
        </w:rPr>
        <w:t xml:space="preserve"> 11781.5 </w:t>
      </w:r>
      <w:r>
        <w:rPr>
          <w:rFonts w:ascii="Times New Roman Regular" w:hAnsi="Times New Roman Regular" w:cs="Times New Roman Regular"/>
        </w:rPr>
        <w:t>万立方米，用电量为</w:t>
      </w:r>
      <w:r>
        <w:rPr>
          <w:rFonts w:ascii="Times New Roman Regular" w:hAnsi="Times New Roman Regular" w:cs="Times New Roman Regular"/>
        </w:rPr>
        <w:t xml:space="preserve"> 63644921.6 </w:t>
      </w:r>
      <w:r>
        <w:rPr>
          <w:rFonts w:ascii="Times New Roman Regular" w:hAnsi="Times New Roman Regular" w:cs="Times New Roman Regular"/>
        </w:rPr>
        <w:t>万千瓦时，其他燃料消费量为</w:t>
      </w:r>
      <w:r>
        <w:rPr>
          <w:rFonts w:ascii="Times New Roman Regular" w:hAnsi="Times New Roman Regular" w:cs="Times New Roman Regular"/>
        </w:rPr>
        <w:t xml:space="preserve"> 41833.1 </w:t>
      </w:r>
      <w:r>
        <w:rPr>
          <w:rFonts w:ascii="Times New Roman Regular" w:hAnsi="Times New Roman Regular" w:cs="Times New Roman Regular"/>
        </w:rPr>
        <w:t>吨标准煤。</w:t>
      </w:r>
    </w:p>
    <w:p w:rsidR="00B373FD">
      <w:pPr>
        <w:pStyle w:val="Heading2"/>
        <w:numPr>
          <w:ilvl w:val="1"/>
          <w:numId w:val="4"/>
        </w:numPr>
        <w:spacing w:before="156" w:after="156"/>
        <w:rPr>
          <w:rFonts w:ascii="Times New Roman Regular" w:hAnsi="Times New Roman Regular" w:cs="Times New Roman Regular"/>
        </w:rPr>
      </w:pPr>
      <w:bookmarkStart w:id="27" w:name="_Toc77862688"/>
      <w:r>
        <w:rPr>
          <w:rFonts w:ascii="Times New Roman Regular" w:hAnsi="Times New Roman Regular" w:cs="Times New Roman Regular"/>
        </w:rPr>
        <w:t>生态环境质量状况</w:t>
      </w:r>
      <w:bookmarkEnd w:id="27"/>
    </w:p>
    <w:p w:rsidR="00B373FD">
      <w:pPr>
        <w:pStyle w:val="Heading3"/>
        <w:numPr>
          <w:ilvl w:val="2"/>
          <w:numId w:val="4"/>
        </w:numPr>
        <w:rPr>
          <w:rFonts w:ascii="Times New Roman Regular" w:hAnsi="Times New Roman Regular" w:cs="Times New Roman Regular"/>
        </w:rPr>
      </w:pPr>
      <w:r>
        <w:rPr>
          <w:rFonts w:ascii="Times New Roman Regular" w:hAnsi="Times New Roman Regular" w:cs="Times New Roman Regular"/>
        </w:rPr>
        <w:t>大气环境质量</w:t>
      </w:r>
    </w:p>
    <w:p w:rsidR="00B373FD">
      <w:pPr>
        <w:adjustRightInd w:val="0"/>
        <w:snapToGrid w:val="0"/>
        <w:ind w:firstLine="640" w:firstLineChars="200"/>
        <w:rPr>
          <w:rFonts w:ascii="Times New Roman Regular" w:hAnsi="Times New Roman Regular" w:cs="Times New Roman Regular"/>
        </w:rPr>
      </w:pPr>
      <w:r>
        <w:rPr>
          <w:rFonts w:ascii="Times New Roman Regular" w:hAnsi="Times New Roman Regular" w:cs="Times New Roman Regular"/>
        </w:rPr>
        <w:t>2016</w:t>
      </w:r>
      <w:r>
        <w:rPr>
          <w:rFonts w:ascii="Times New Roman Regular" w:hAnsi="Times New Roman Regular" w:cs="Times New Roman Regular" w:hint="eastAsia"/>
        </w:rPr>
        <w:t>-</w:t>
      </w:r>
      <w:r>
        <w:rPr>
          <w:rFonts w:ascii="Times New Roman Regular" w:hAnsi="Times New Roman Regular" w:cs="Times New Roman Regular"/>
        </w:rPr>
        <w:t>2020</w:t>
      </w:r>
      <w:r>
        <w:rPr>
          <w:rFonts w:ascii="Times New Roman Regular" w:hAnsi="Times New Roman Regular" w:cs="Times New Roman Regular"/>
        </w:rPr>
        <w:t>年，全市大气环境质量整体呈改善趋势。城区空气质量良好以上天数比例从</w:t>
      </w:r>
      <w:r>
        <w:rPr>
          <w:rFonts w:ascii="Times New Roman Regular" w:hAnsi="Times New Roman Regular" w:cs="Times New Roman Regular"/>
        </w:rPr>
        <w:t>76.8%</w:t>
      </w:r>
      <w:r>
        <w:rPr>
          <w:rFonts w:ascii="Times New Roman Regular" w:hAnsi="Times New Roman Regular" w:cs="Times New Roman Regular"/>
        </w:rPr>
        <w:t>上升至</w:t>
      </w:r>
      <w:r>
        <w:rPr>
          <w:rFonts w:ascii="Times New Roman Regular" w:hAnsi="Times New Roman Regular" w:cs="Times New Roman Regular"/>
        </w:rPr>
        <w:t>85.2%</w:t>
      </w:r>
      <w:r>
        <w:rPr>
          <w:rFonts w:ascii="Times New Roman Regular" w:hAnsi="Times New Roman Regular" w:cs="Times New Roman Regular"/>
        </w:rPr>
        <w:t>，提高</w:t>
      </w:r>
      <w:r>
        <w:rPr>
          <w:rFonts w:ascii="Times New Roman Regular" w:hAnsi="Times New Roman Regular" w:cs="Times New Roman Regular"/>
        </w:rPr>
        <w:t>了</w:t>
      </w:r>
      <w:r>
        <w:rPr>
          <w:rFonts w:ascii="Times New Roman Regular" w:hAnsi="Times New Roman Regular" w:cs="Times New Roman Regular"/>
        </w:rPr>
        <w:t>8.4</w:t>
      </w:r>
      <w:r>
        <w:rPr>
          <w:rFonts w:ascii="Times New Roman Regular" w:hAnsi="Times New Roman Regular" w:cs="Times New Roman Regular"/>
        </w:rPr>
        <w:t>个百分点。二氧化硫平均浓度范围在</w:t>
      </w:r>
      <w:r>
        <w:rPr>
          <w:rFonts w:ascii="Times New Roman Regular" w:hAnsi="Times New Roman Regular" w:cs="Times New Roman Regular"/>
        </w:rPr>
        <w:t xml:space="preserve"> 9</w:t>
      </w:r>
      <w:r>
        <w:rPr>
          <w:rFonts w:ascii="Times New Roman Regular" w:hAnsi="Times New Roman Regular" w:cs="Times New Roman Regular" w:hint="eastAsia"/>
        </w:rPr>
        <w:t>-</w:t>
      </w:r>
      <w:r>
        <w:rPr>
          <w:rFonts w:ascii="Times New Roman Regular" w:hAnsi="Times New Roman Regular" w:cs="Times New Roman Regular"/>
        </w:rPr>
        <w:t xml:space="preserve">21 </w:t>
      </w:r>
      <w:r>
        <w:rPr>
          <w:rFonts w:ascii="Times New Roman Regular" w:hAnsi="Times New Roman Regular" w:cs="Times New Roman Regular"/>
        </w:rPr>
        <w:t>微克</w:t>
      </w:r>
      <w:r>
        <w:rPr>
          <w:rFonts w:ascii="Times New Roman Regular" w:hAnsi="Times New Roman Regular" w:cs="Times New Roman Regular"/>
        </w:rPr>
        <w:t>/</w:t>
      </w:r>
      <w:r>
        <w:rPr>
          <w:rFonts w:ascii="Times New Roman Regular" w:hAnsi="Times New Roman Regular" w:cs="Times New Roman Regular"/>
        </w:rPr>
        <w:t>立方米之间，年均值均达到二级标准，近五年来无超标情况。二氧化氮年均值浓度波动达标，在</w:t>
      </w:r>
      <w:r>
        <w:rPr>
          <w:rFonts w:ascii="Times New Roman Regular" w:hAnsi="Times New Roman Regular" w:cs="Times New Roman Regular"/>
        </w:rPr>
        <w:t xml:space="preserve"> 2017 </w:t>
      </w:r>
      <w:r>
        <w:rPr>
          <w:rFonts w:ascii="Times New Roman Regular" w:hAnsi="Times New Roman Regular" w:cs="Times New Roman Regular"/>
        </w:rPr>
        <w:t>年达到峰值</w:t>
      </w:r>
      <w:r>
        <w:rPr>
          <w:rFonts w:ascii="Times New Roman Regular" w:hAnsi="Times New Roman Regular" w:cs="Times New Roman Regular"/>
        </w:rPr>
        <w:t xml:space="preserve">40 </w:t>
      </w:r>
      <w:r>
        <w:rPr>
          <w:rFonts w:ascii="Times New Roman Regular" w:hAnsi="Times New Roman Regular" w:cs="Times New Roman Regular"/>
        </w:rPr>
        <w:t>微克</w:t>
      </w:r>
      <w:r>
        <w:rPr>
          <w:rFonts w:ascii="Times New Roman Regular" w:hAnsi="Times New Roman Regular" w:cs="Times New Roman Regular"/>
        </w:rPr>
        <w:t>/</w:t>
      </w:r>
      <w:r>
        <w:rPr>
          <w:rFonts w:ascii="Times New Roman Regular" w:hAnsi="Times New Roman Regular" w:cs="Times New Roman Regular"/>
        </w:rPr>
        <w:t>立方米，随后呈现下降趋势，并在近两年趋于平稳。可吸入颗粒物和细颗粒物浓度年均值亦逐年下降，自</w:t>
      </w:r>
      <w:r>
        <w:rPr>
          <w:rFonts w:ascii="Times New Roman Regular" w:hAnsi="Times New Roman Regular" w:cs="Times New Roman Regular"/>
        </w:rPr>
        <w:t xml:space="preserve"> 2018</w:t>
      </w:r>
      <w:r>
        <w:rPr>
          <w:rFonts w:ascii="Times New Roman Regular" w:hAnsi="Times New Roman Regular" w:cs="Times New Roman Regular"/>
        </w:rPr>
        <w:t>年以来持续稳定达标。臭氧日最大</w:t>
      </w:r>
      <w:r>
        <w:rPr>
          <w:rFonts w:ascii="Times New Roman Regular" w:hAnsi="Times New Roman Regular" w:cs="Times New Roman Regular"/>
        </w:rPr>
        <w:t>8</w:t>
      </w:r>
      <w:r>
        <w:rPr>
          <w:rFonts w:ascii="Times New Roman Regular" w:hAnsi="Times New Roman Regular" w:cs="Times New Roman Regular"/>
        </w:rPr>
        <w:t>小时第</w:t>
      </w:r>
      <w:r>
        <w:rPr>
          <w:rFonts w:ascii="Times New Roman Regular" w:hAnsi="Times New Roman Regular" w:cs="Times New Roman Regular"/>
        </w:rPr>
        <w:t>90</w:t>
      </w:r>
      <w:r>
        <w:rPr>
          <w:rFonts w:ascii="Times New Roman Regular" w:hAnsi="Times New Roman Regular" w:cs="Times New Roman Regular"/>
        </w:rPr>
        <w:t>百分位数浓度整体呈下降趋势，但仍未达到二级标准。一氧化碳平均浓度范围在</w:t>
      </w:r>
      <w:r>
        <w:rPr>
          <w:rFonts w:ascii="Times New Roman Regular" w:hAnsi="Times New Roman Regular" w:cs="Times New Roman Regular"/>
        </w:rPr>
        <w:t xml:space="preserve"> 1.1</w:t>
      </w:r>
      <w:r>
        <w:rPr>
          <w:rFonts w:ascii="Times New Roman Regular" w:hAnsi="Times New Roman Regular" w:cs="Times New Roman Regular" w:hint="eastAsia"/>
        </w:rPr>
        <w:t>-</w:t>
      </w:r>
      <w:r>
        <w:rPr>
          <w:rFonts w:ascii="Times New Roman Regular" w:hAnsi="Times New Roman Regular" w:cs="Times New Roman Regular"/>
        </w:rPr>
        <w:t xml:space="preserve">1.2 </w:t>
      </w:r>
      <w:r>
        <w:rPr>
          <w:rFonts w:ascii="Times New Roman Regular" w:hAnsi="Times New Roman Regular" w:cs="Times New Roman Regular"/>
        </w:rPr>
        <w:t>毫克</w:t>
      </w:r>
      <w:r>
        <w:rPr>
          <w:rFonts w:ascii="Times New Roman Regular" w:hAnsi="Times New Roman Regular" w:cs="Times New Roman Regular"/>
        </w:rPr>
        <w:t>/</w:t>
      </w:r>
      <w:r>
        <w:rPr>
          <w:rFonts w:ascii="Times New Roman Regular" w:hAnsi="Times New Roman Regular" w:cs="Times New Roman Regular"/>
        </w:rPr>
        <w:t>立方米之间，年均值均达到二级标准，连续四年保持稳定。</w:t>
      </w:r>
    </w:p>
    <w:p w:rsidR="00B373FD">
      <w:pPr>
        <w:adjustRightInd w:val="0"/>
        <w:snapToGrid w:val="0"/>
        <w:ind w:firstLine="1600" w:firstLineChars="500"/>
        <w:rPr>
          <w:rFonts w:ascii="Times New Roman Regular" w:eastAsia="黑体" w:hAnsi="Times New Roman Regular" w:cs="Times New Roman Regular"/>
          <w:sz w:val="28"/>
          <w:szCs w:val="24"/>
        </w:rPr>
      </w:pPr>
      <w:r>
        <w:rPr>
          <w:rFonts w:ascii="Times New Roman Regular" w:hAnsi="Times New Roman Regular" w:cs="Times New Roman Regular"/>
          <w:noProof/>
        </w:rPr>
        <w:drawing>
          <wp:anchor distT="0" distB="0" distL="114935" distR="114935" simplePos="0" relativeHeight="251661312" behindDoc="0" locked="0" layoutInCell="1" allowOverlap="1">
            <wp:simplePos x="0" y="0"/>
            <wp:positionH relativeFrom="column">
              <wp:posOffset>8890</wp:posOffset>
            </wp:positionH>
            <wp:positionV relativeFrom="paragraph">
              <wp:posOffset>84455</wp:posOffset>
            </wp:positionV>
            <wp:extent cx="5273675" cy="2614930"/>
            <wp:effectExtent l="0" t="0" r="9525" b="1270"/>
            <wp:wrapTopAndBottom/>
            <wp:docPr id="4" name="图片 141" descr="16232984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1" descr="1623298447(1)"/>
                    <pic:cNvPicPr>
                      <a:picLocks noChangeAspect="1"/>
                    </pic:cNvPicPr>
                  </pic:nvPicPr>
                  <pic:blipFill>
                    <a:blip xmlns:r="http://schemas.openxmlformats.org/officeDocument/2006/relationships" r:embed="rId24"/>
                    <a:stretch>
                      <a:fillRect/>
                    </a:stretch>
                  </pic:blipFill>
                  <pic:spPr>
                    <a:xfrm>
                      <a:off x="0" y="0"/>
                      <a:ext cx="5273675" cy="2614930"/>
                    </a:xfrm>
                    <a:prstGeom prst="rect">
                      <a:avLst/>
                    </a:prstGeom>
                    <a:noFill/>
                    <a:ln w="9525">
                      <a:noFill/>
                    </a:ln>
                  </pic:spPr>
                </pic:pic>
              </a:graphicData>
            </a:graphic>
          </wp:anchor>
        </w:drawing>
      </w:r>
      <w:r>
        <w:rPr>
          <w:rFonts w:ascii="Times New Roman Regular" w:eastAsia="黑体" w:hAnsi="Times New Roman Regular" w:cs="Times New Roman Regular"/>
          <w:sz w:val="28"/>
          <w:szCs w:val="24"/>
        </w:rPr>
        <w:t>图</w:t>
      </w:r>
      <w:r>
        <w:rPr>
          <w:rFonts w:ascii="Times New Roman Regular" w:eastAsia="黑体" w:hAnsi="Times New Roman Regular" w:cs="Times New Roman Regular"/>
          <w:sz w:val="28"/>
          <w:szCs w:val="24"/>
        </w:rPr>
        <w:t>2-</w:t>
      </w:r>
      <w:r>
        <w:rPr>
          <w:rFonts w:ascii="Times New Roman Regular" w:eastAsia="黑体" w:hAnsi="Times New Roman Regular" w:cs="Times New Roman Regular" w:hint="eastAsia"/>
          <w:sz w:val="28"/>
          <w:szCs w:val="24"/>
        </w:rPr>
        <w:t>3</w:t>
      </w:r>
      <w:r>
        <w:rPr>
          <w:rFonts w:ascii="Times New Roman Regular" w:eastAsia="黑体" w:hAnsi="Times New Roman Regular" w:cs="Times New Roman Regular"/>
          <w:sz w:val="28"/>
          <w:szCs w:val="24"/>
        </w:rPr>
        <w:t xml:space="preserve"> </w:t>
      </w:r>
      <w:r>
        <w:rPr>
          <w:rFonts w:ascii="Times New Roman Regular" w:eastAsia="黑体" w:hAnsi="Times New Roman Regular" w:cs="Times New Roman Regular"/>
          <w:sz w:val="28"/>
          <w:szCs w:val="24"/>
        </w:rPr>
        <w:t>太仓市主要大气污染物浓度变化情况</w:t>
      </w:r>
    </w:p>
    <w:p w:rsidR="00B373FD">
      <w:pPr>
        <w:pStyle w:val="Heading3"/>
        <w:numPr>
          <w:ilvl w:val="2"/>
          <w:numId w:val="4"/>
        </w:numPr>
        <w:rPr>
          <w:rFonts w:ascii="Times New Roman Regular" w:hAnsi="Times New Roman Regular" w:cs="Times New Roman Regular"/>
        </w:rPr>
      </w:pPr>
      <w:r>
        <w:rPr>
          <w:rFonts w:ascii="Times New Roman Regular" w:hAnsi="Times New Roman Regular" w:cs="Times New Roman Regular"/>
        </w:rPr>
        <w:t>水环境质量</w:t>
      </w:r>
    </w:p>
    <w:p w:rsidR="00B373FD">
      <w:pPr>
        <w:adjustRightInd w:val="0"/>
        <w:snapToGrid w:val="0"/>
        <w:ind w:firstLine="640" w:firstLineChars="200"/>
        <w:rPr>
          <w:rFonts w:ascii="Times New Roman Regular" w:hAnsi="Times New Roman Regular" w:cs="Times New Roman Regular"/>
        </w:rPr>
      </w:pPr>
      <w:r>
        <w:rPr>
          <w:rFonts w:ascii="Times New Roman Regular" w:hAnsi="Times New Roman Regular" w:cs="Times New Roman Regular"/>
        </w:rPr>
        <w:t>2020</w:t>
      </w:r>
      <w:r>
        <w:rPr>
          <w:rFonts w:ascii="Times New Roman Regular" w:hAnsi="Times New Roman Regular" w:cs="Times New Roman Regular"/>
        </w:rPr>
        <w:t>年太仓三水厂饮用水水源地水质状况良好，基本项目监测结果全部符合《地表水环境质量标准》（</w:t>
      </w:r>
      <w:r>
        <w:rPr>
          <w:rFonts w:ascii="Times New Roman Regular" w:hAnsi="Times New Roman Regular" w:cs="Times New Roman Regular"/>
        </w:rPr>
        <w:t>GB3838-2002</w:t>
      </w:r>
      <w:r>
        <w:rPr>
          <w:rFonts w:ascii="Times New Roman Regular" w:hAnsi="Times New Roman Regular" w:cs="Times New Roman Regular"/>
        </w:rPr>
        <w:t>）</w:t>
      </w:r>
      <w:r>
        <w:rPr>
          <w:rFonts w:ascii="Times New Roman Regular" w:hAnsi="Times New Roman Regular" w:cs="Times New Roman Regular"/>
        </w:rPr>
        <w:t>Ⅲ</w:t>
      </w:r>
      <w:r>
        <w:rPr>
          <w:rFonts w:ascii="Times New Roman Regular" w:hAnsi="Times New Roman Regular" w:cs="Times New Roman Regular"/>
        </w:rPr>
        <w:t>类水标准，补充项目及特定项目监测结果均低于饮用水</w:t>
      </w:r>
      <w:r>
        <w:rPr>
          <w:rFonts w:ascii="Times New Roman Regular" w:hAnsi="Times New Roman Regular" w:cs="Times New Roman Regular" w:hint="eastAsia"/>
        </w:rPr>
        <w:t>水</w:t>
      </w:r>
      <w:r>
        <w:rPr>
          <w:rFonts w:ascii="Times New Roman Regular" w:hAnsi="Times New Roman Regular" w:cs="Times New Roman Regular"/>
        </w:rPr>
        <w:t>源地标准限值，水质达标率为</w:t>
      </w:r>
      <w:r>
        <w:rPr>
          <w:rFonts w:ascii="Times New Roman Regular" w:hAnsi="Times New Roman Regular" w:cs="Times New Roman Regular"/>
        </w:rPr>
        <w:t xml:space="preserve"> 100%</w:t>
      </w:r>
      <w:r>
        <w:rPr>
          <w:rFonts w:ascii="Times New Roman Regular" w:hAnsi="Times New Roman Regular" w:cs="Times New Roman Regular"/>
        </w:rPr>
        <w:t>。</w:t>
      </w:r>
    </w:p>
    <w:p w:rsidR="00B373FD">
      <w:pPr>
        <w:adjustRightInd w:val="0"/>
        <w:snapToGrid w:val="0"/>
        <w:ind w:firstLine="640" w:firstLineChars="200"/>
        <w:rPr>
          <w:rFonts w:ascii="Times New Roman Regular" w:hAnsi="Times New Roman Regular" w:cs="Times New Roman Regular"/>
        </w:rPr>
      </w:pPr>
      <w:r>
        <w:rPr>
          <w:rFonts w:ascii="Times New Roman Regular" w:hAnsi="Times New Roman Regular" w:cs="Times New Roman Regular"/>
        </w:rPr>
        <w:t>太仓市国考断面有</w:t>
      </w:r>
      <w:r>
        <w:rPr>
          <w:rFonts w:ascii="Times New Roman Regular" w:hAnsi="Times New Roman Regular" w:cs="Times New Roman Regular"/>
        </w:rPr>
        <w:t xml:space="preserve"> 2 </w:t>
      </w:r>
      <w:r>
        <w:rPr>
          <w:rFonts w:ascii="Times New Roman Regular" w:hAnsi="Times New Roman Regular" w:cs="Times New Roman Regular"/>
        </w:rPr>
        <w:t>个，分别为长江浏河断面、浏河塘浏河闸断面</w:t>
      </w:r>
      <w:r w:rsidR="00AB088D">
        <w:rPr>
          <w:rFonts w:ascii="Times New Roman Regular" w:hAnsi="Times New Roman Regular" w:cs="Times New Roman Regular" w:hint="eastAsia"/>
        </w:rPr>
        <w:t>，</w:t>
      </w:r>
      <w:r w:rsidR="00AB088D">
        <w:rPr>
          <w:rFonts w:ascii="Times New Roman Regular" w:hAnsi="Times New Roman Regular" w:cs="Times New Roman Regular"/>
        </w:rPr>
        <w:t xml:space="preserve">2020 </w:t>
      </w:r>
      <w:r w:rsidR="00AB088D">
        <w:rPr>
          <w:rFonts w:ascii="Times New Roman Regular" w:hAnsi="Times New Roman Regular" w:cs="Times New Roman Regular"/>
        </w:rPr>
        <w:t>年</w:t>
      </w:r>
      <w:r w:rsidR="00AB088D">
        <w:rPr>
          <w:rFonts w:ascii="Times New Roman Regular" w:hAnsi="Times New Roman Regular" w:cs="Times New Roman Regular" w:hint="eastAsia"/>
        </w:rPr>
        <w:t>，</w:t>
      </w:r>
      <w:r>
        <w:rPr>
          <w:rFonts w:ascii="Times New Roman Regular" w:hAnsi="Times New Roman Regular" w:cs="Times New Roman Regular"/>
        </w:rPr>
        <w:t>浏河断面水质符合</w:t>
      </w:r>
      <w:r>
        <w:rPr>
          <w:rFonts w:ascii="Times New Roman Regular" w:hAnsi="Times New Roman Regular" w:cs="Times New Roman Regular"/>
        </w:rPr>
        <w:t>Ⅱ</w:t>
      </w:r>
      <w:r>
        <w:rPr>
          <w:rFonts w:ascii="Times New Roman Regular" w:hAnsi="Times New Roman Regular" w:cs="Times New Roman Regular"/>
        </w:rPr>
        <w:t>类水水质要求，</w:t>
      </w:r>
      <w:r>
        <w:rPr>
          <w:rFonts w:ascii="Times New Roman Regular" w:hAnsi="Times New Roman Regular" w:cs="Times New Roman Regular"/>
        </w:rPr>
        <w:t>水质状况为优；浏河闸断面水质符合</w:t>
      </w:r>
      <w:r>
        <w:rPr>
          <w:rFonts w:ascii="Times New Roman Regular" w:hAnsi="Times New Roman Regular" w:cs="Times New Roman Regular"/>
        </w:rPr>
        <w:t>Ⅲ</w:t>
      </w:r>
      <w:r>
        <w:rPr>
          <w:rFonts w:ascii="Times New Roman Regular" w:hAnsi="Times New Roman Regular" w:cs="Times New Roman Regular"/>
        </w:rPr>
        <w:t>类水水质要求，水质状况为良好。</w:t>
      </w:r>
      <w:r>
        <w:rPr>
          <w:rFonts w:ascii="Times New Roman Regular" w:hAnsi="Times New Roman Regular" w:cs="Times New Roman Regular"/>
        </w:rPr>
        <w:t xml:space="preserve">2020 </w:t>
      </w:r>
      <w:r>
        <w:rPr>
          <w:rFonts w:ascii="Times New Roman Regular" w:hAnsi="Times New Roman Regular" w:cs="Times New Roman Regular"/>
        </w:rPr>
        <w:t>年太仓市国考断面的水质达标率为</w:t>
      </w:r>
      <w:r>
        <w:rPr>
          <w:rFonts w:ascii="Times New Roman Regular" w:hAnsi="Times New Roman Regular" w:cs="Times New Roman Regular"/>
        </w:rPr>
        <w:t xml:space="preserve"> 100%</w:t>
      </w:r>
      <w:r>
        <w:rPr>
          <w:rFonts w:ascii="Times New Roman Regular" w:hAnsi="Times New Roman Regular" w:cs="Times New Roman Regular"/>
        </w:rPr>
        <w:t>，优</w:t>
      </w:r>
      <w:r>
        <w:rPr>
          <w:rFonts w:ascii="Times New Roman Regular" w:hAnsi="Times New Roman Regular" w:cs="Times New Roman Regular"/>
        </w:rPr>
        <w:t>Ⅲ</w:t>
      </w:r>
      <w:r>
        <w:rPr>
          <w:rFonts w:ascii="Times New Roman Regular" w:hAnsi="Times New Roman Regular" w:cs="Times New Roman Regular"/>
        </w:rPr>
        <w:t>比例为</w:t>
      </w:r>
      <w:r>
        <w:rPr>
          <w:rFonts w:ascii="Times New Roman Regular" w:hAnsi="Times New Roman Regular" w:cs="Times New Roman Regular"/>
        </w:rPr>
        <w:t xml:space="preserve"> 100%</w:t>
      </w:r>
      <w:r>
        <w:rPr>
          <w:rFonts w:ascii="Times New Roman Regular" w:hAnsi="Times New Roman Regular" w:cs="Times New Roman Regular"/>
        </w:rPr>
        <w:t>。</w:t>
      </w:r>
    </w:p>
    <w:p w:rsidR="00B373FD">
      <w:pPr>
        <w:adjustRightInd w:val="0"/>
        <w:snapToGrid w:val="0"/>
        <w:ind w:firstLine="640" w:firstLineChars="200"/>
        <w:rPr>
          <w:rFonts w:ascii="Times New Roman Regular" w:hAnsi="Times New Roman Regular" w:cs="Times New Roman Regular"/>
        </w:rPr>
      </w:pPr>
      <w:r>
        <w:rPr>
          <w:rFonts w:ascii="Times New Roman Regular" w:hAnsi="Times New Roman Regular" w:cs="Times New Roman Regular"/>
        </w:rPr>
        <w:t>太仓市省考断面共</w:t>
      </w:r>
      <w:r>
        <w:rPr>
          <w:rFonts w:ascii="Times New Roman Regular" w:hAnsi="Times New Roman Regular" w:cs="Times New Roman Regular"/>
        </w:rPr>
        <w:t xml:space="preserve"> 6 </w:t>
      </w:r>
      <w:r>
        <w:rPr>
          <w:rFonts w:ascii="Times New Roman Regular" w:hAnsi="Times New Roman Regular" w:cs="Times New Roman Regular"/>
        </w:rPr>
        <w:t>个，其中浏河、浏河闸断面属于国考断面，其余</w:t>
      </w:r>
      <w:r>
        <w:rPr>
          <w:rFonts w:ascii="Times New Roman Regular" w:hAnsi="Times New Roman Regular" w:cs="Times New Roman Regular"/>
        </w:rPr>
        <w:t xml:space="preserve"> 4 </w:t>
      </w:r>
      <w:r>
        <w:rPr>
          <w:rFonts w:ascii="Times New Roman Regular" w:hAnsi="Times New Roman Regular" w:cs="Times New Roman Regular"/>
        </w:rPr>
        <w:t>个断面分别为浏河塘振东渡口断面、盐铁塘新丰桥镇断面、杨林塘仪桥断面、七浦塘荡茜河桥断面。</w:t>
      </w:r>
      <w:r>
        <w:rPr>
          <w:rFonts w:ascii="Times New Roman Regular" w:hAnsi="Times New Roman Regular" w:cs="Times New Roman Regular"/>
        </w:rPr>
        <w:t xml:space="preserve">2020 </w:t>
      </w:r>
      <w:r>
        <w:rPr>
          <w:rFonts w:ascii="Times New Roman Regular" w:hAnsi="Times New Roman Regular" w:cs="Times New Roman Regular"/>
        </w:rPr>
        <w:t>年太仓市省考断面水质达标率为</w:t>
      </w:r>
      <w:r>
        <w:rPr>
          <w:rFonts w:ascii="Times New Roman Regular" w:hAnsi="Times New Roman Regular" w:cs="Times New Roman Regular"/>
        </w:rPr>
        <w:t>100%</w:t>
      </w:r>
      <w:r>
        <w:rPr>
          <w:rFonts w:ascii="Times New Roman Regular" w:hAnsi="Times New Roman Regular" w:cs="Times New Roman Regular"/>
        </w:rPr>
        <w:t>，优</w:t>
      </w:r>
      <w:r>
        <w:rPr>
          <w:rFonts w:ascii="Times New Roman Regular" w:hAnsi="Times New Roman Regular" w:cs="Times New Roman Regular"/>
        </w:rPr>
        <w:t>Ⅲ</w:t>
      </w:r>
      <w:r>
        <w:rPr>
          <w:rFonts w:ascii="Times New Roman Regular" w:hAnsi="Times New Roman Regular" w:cs="Times New Roman Regular"/>
        </w:rPr>
        <w:t>比例为</w:t>
      </w:r>
      <w:r>
        <w:rPr>
          <w:rFonts w:ascii="Times New Roman Regular" w:hAnsi="Times New Roman Regular" w:cs="Times New Roman Regular"/>
        </w:rPr>
        <w:t xml:space="preserve"> 100%</w:t>
      </w:r>
      <w:r>
        <w:rPr>
          <w:rFonts w:ascii="Times New Roman Regular" w:hAnsi="Times New Roman Regular" w:cs="Times New Roman Regular"/>
        </w:rPr>
        <w:t>。</w:t>
      </w:r>
    </w:p>
    <w:p w:rsidR="00B373FD">
      <w:pPr>
        <w:pStyle w:val="Heading3"/>
        <w:numPr>
          <w:ilvl w:val="2"/>
          <w:numId w:val="4"/>
        </w:numPr>
        <w:rPr>
          <w:rFonts w:ascii="Times New Roman Regular" w:hAnsi="Times New Roman Regular" w:cs="Times New Roman Regular"/>
        </w:rPr>
      </w:pPr>
      <w:r>
        <w:rPr>
          <w:rFonts w:ascii="Times New Roman Regular" w:hAnsi="Times New Roman Regular" w:cs="Times New Roman Regular"/>
        </w:rPr>
        <w:t>土壤环境质量</w:t>
      </w:r>
    </w:p>
    <w:p w:rsidR="00B373FD">
      <w:pPr>
        <w:adjustRightInd w:val="0"/>
        <w:snapToGrid w:val="0"/>
        <w:ind w:firstLine="640" w:firstLineChars="200"/>
        <w:rPr>
          <w:rFonts w:ascii="Times New Roman Regular" w:hAnsi="Times New Roman Regular" w:cs="Times New Roman Regular"/>
        </w:rPr>
      </w:pPr>
      <w:r>
        <w:rPr>
          <w:rFonts w:ascii="Times New Roman Regular" w:hAnsi="Times New Roman Regular" w:cs="Times New Roman Regular"/>
        </w:rPr>
        <w:t xml:space="preserve">2020 </w:t>
      </w:r>
      <w:r>
        <w:rPr>
          <w:rFonts w:ascii="Times New Roman Regular" w:hAnsi="Times New Roman Regular" w:cs="Times New Roman Regular"/>
        </w:rPr>
        <w:t>年太仓市选取了浏河镇闸北村、璜泾镇新华村、沙溪镇印北村</w:t>
      </w:r>
      <w:r>
        <w:rPr>
          <w:rFonts w:ascii="Times New Roman Regular" w:hAnsi="Times New Roman Regular" w:cs="Times New Roman Regular"/>
        </w:rPr>
        <w:t xml:space="preserve"> 3 </w:t>
      </w:r>
      <w:r>
        <w:rPr>
          <w:rFonts w:ascii="Times New Roman Regular" w:hAnsi="Times New Roman Regular" w:cs="Times New Roman Regular"/>
        </w:rPr>
        <w:t>个行政村庄开展了土壤环境质量监测，每个村庄各布设</w:t>
      </w:r>
      <w:r>
        <w:rPr>
          <w:rFonts w:ascii="Times New Roman Regular" w:hAnsi="Times New Roman Regular" w:cs="Times New Roman Regular"/>
        </w:rPr>
        <w:t xml:space="preserve"> 5 </w:t>
      </w:r>
      <w:r>
        <w:rPr>
          <w:rFonts w:ascii="Times New Roman Regular" w:hAnsi="Times New Roman Regular" w:cs="Times New Roman Regular"/>
        </w:rPr>
        <w:t>个点位，监测项目为土壤</w:t>
      </w:r>
      <w:r>
        <w:rPr>
          <w:rFonts w:ascii="Times New Roman Regular" w:hAnsi="Times New Roman Regular" w:cs="Times New Roman Regular"/>
        </w:rPr>
        <w:t xml:space="preserve"> pH </w:t>
      </w:r>
      <w:r>
        <w:rPr>
          <w:rFonts w:ascii="Times New Roman Regular" w:hAnsi="Times New Roman Regular" w:cs="Times New Roman Regular"/>
        </w:rPr>
        <w:t>值、阳离子交换量、镉、汞、砷、铅、铬、铜、镍、锌，评价标准执行《土壤环境质量农用土地污染风险管控标准》（</w:t>
      </w:r>
      <w:r>
        <w:rPr>
          <w:rFonts w:ascii="Times New Roman Regular" w:hAnsi="Times New Roman Regular" w:cs="Times New Roman Regular"/>
        </w:rPr>
        <w:t>GB15618-2018</w:t>
      </w:r>
      <w:r>
        <w:rPr>
          <w:rFonts w:ascii="Times New Roman Regular" w:hAnsi="Times New Roman Regular" w:cs="Times New Roman Regular"/>
        </w:rPr>
        <w:t>）二级标准，达标率为</w:t>
      </w:r>
      <w:r>
        <w:rPr>
          <w:rFonts w:ascii="Times New Roman Regular" w:hAnsi="Times New Roman Regular" w:cs="Times New Roman Regular"/>
        </w:rPr>
        <w:t>100%</w:t>
      </w:r>
      <w:r>
        <w:rPr>
          <w:rFonts w:ascii="Times New Roman Regular" w:hAnsi="Times New Roman Regular" w:cs="Times New Roman Regular"/>
        </w:rPr>
        <w:t>。</w:t>
      </w:r>
    </w:p>
    <w:p w:rsidR="00B373FD">
      <w:pPr>
        <w:pStyle w:val="Heading3"/>
        <w:numPr>
          <w:ilvl w:val="2"/>
          <w:numId w:val="4"/>
        </w:numPr>
        <w:rPr>
          <w:rFonts w:ascii="Times New Roman Regular" w:hAnsi="Times New Roman Regular" w:cs="Times New Roman Regular"/>
        </w:rPr>
      </w:pPr>
      <w:r>
        <w:rPr>
          <w:rFonts w:ascii="Times New Roman Regular" w:hAnsi="Times New Roman Regular" w:cs="Times New Roman Regular"/>
        </w:rPr>
        <w:t>声环境质量</w:t>
      </w:r>
    </w:p>
    <w:p w:rsidR="00B373FD">
      <w:pPr>
        <w:adjustRightInd w:val="0"/>
        <w:snapToGrid w:val="0"/>
        <w:ind w:firstLine="640" w:firstLineChars="200"/>
        <w:rPr>
          <w:rFonts w:ascii="Times New Roman Regular" w:hAnsi="Times New Roman Regular" w:cs="Times New Roman Regular"/>
        </w:rPr>
      </w:pPr>
      <w:r>
        <w:rPr>
          <w:rFonts w:ascii="Times New Roman Regular" w:hAnsi="Times New Roman Regular" w:cs="Times New Roman Regular"/>
        </w:rPr>
        <w:t>“</w:t>
      </w:r>
      <w:r>
        <w:rPr>
          <w:rFonts w:ascii="Times New Roman Regular" w:hAnsi="Times New Roman Regular" w:cs="Times New Roman Regular"/>
        </w:rPr>
        <w:t>十三五</w:t>
      </w:r>
      <w:r>
        <w:rPr>
          <w:rFonts w:ascii="Times New Roman Regular" w:hAnsi="Times New Roman Regular" w:cs="Times New Roman Regular"/>
        </w:rPr>
        <w:t>”</w:t>
      </w:r>
      <w:r>
        <w:rPr>
          <w:rFonts w:ascii="Times New Roman Regular" w:hAnsi="Times New Roman Regular" w:cs="Times New Roman Regular"/>
        </w:rPr>
        <w:t>期间太仓市昼间区域环境噪声等效声级分别为</w:t>
      </w:r>
      <w:r>
        <w:rPr>
          <w:rFonts w:ascii="Times New Roman Regular" w:hAnsi="Times New Roman Regular" w:cs="Times New Roman Regular"/>
        </w:rPr>
        <w:t xml:space="preserve"> 55.7 </w:t>
      </w:r>
      <w:r>
        <w:rPr>
          <w:rFonts w:ascii="Times New Roman Regular" w:hAnsi="Times New Roman Regular" w:cs="Times New Roman Regular"/>
        </w:rPr>
        <w:t>分贝、</w:t>
      </w:r>
      <w:r>
        <w:rPr>
          <w:rFonts w:ascii="Times New Roman Regular" w:hAnsi="Times New Roman Regular" w:cs="Times New Roman Regular"/>
        </w:rPr>
        <w:t xml:space="preserve">55.8 </w:t>
      </w:r>
      <w:r>
        <w:rPr>
          <w:rFonts w:ascii="Times New Roman Regular" w:hAnsi="Times New Roman Regular" w:cs="Times New Roman Regular"/>
        </w:rPr>
        <w:t>分贝、</w:t>
      </w:r>
      <w:r>
        <w:rPr>
          <w:rFonts w:ascii="Times New Roman Regular" w:hAnsi="Times New Roman Regular" w:cs="Times New Roman Regular"/>
        </w:rPr>
        <w:t xml:space="preserve">52.9 </w:t>
      </w:r>
      <w:r>
        <w:rPr>
          <w:rFonts w:ascii="Times New Roman Regular" w:hAnsi="Times New Roman Regular" w:cs="Times New Roman Regular"/>
        </w:rPr>
        <w:t>分贝、</w:t>
      </w:r>
      <w:r>
        <w:rPr>
          <w:rFonts w:ascii="Times New Roman Regular" w:hAnsi="Times New Roman Regular" w:cs="Times New Roman Regular"/>
        </w:rPr>
        <w:t xml:space="preserve">57.8 </w:t>
      </w:r>
      <w:r>
        <w:rPr>
          <w:rFonts w:ascii="Times New Roman Regular" w:hAnsi="Times New Roman Regular" w:cs="Times New Roman Regular"/>
        </w:rPr>
        <w:t>分贝、</w:t>
      </w:r>
      <w:r>
        <w:rPr>
          <w:rFonts w:ascii="Times New Roman Regular" w:hAnsi="Times New Roman Regular" w:cs="Times New Roman Regular"/>
        </w:rPr>
        <w:t xml:space="preserve">55.9 </w:t>
      </w:r>
      <w:r>
        <w:rPr>
          <w:rFonts w:ascii="Times New Roman Regular" w:hAnsi="Times New Roman Regular" w:cs="Times New Roman Regular"/>
        </w:rPr>
        <w:t>分贝。根据《环境噪声监测技术规范城市声环境常规监测》</w:t>
      </w:r>
      <w:r>
        <w:rPr>
          <w:rFonts w:ascii="Times New Roman Regular" w:hAnsi="Times New Roman Regular" w:cs="Times New Roman Regular"/>
        </w:rPr>
        <w:t xml:space="preserve">(HJ640-2012) </w:t>
      </w:r>
      <w:r>
        <w:rPr>
          <w:rFonts w:ascii="Times New Roman Regular" w:hAnsi="Times New Roman Regular" w:cs="Times New Roman Regular"/>
        </w:rPr>
        <w:t>，除了</w:t>
      </w:r>
      <w:r>
        <w:rPr>
          <w:rFonts w:ascii="Times New Roman Regular" w:hAnsi="Times New Roman Regular" w:cs="Times New Roman Regular"/>
        </w:rPr>
        <w:t xml:space="preserve"> 2018 </w:t>
      </w:r>
      <w:r>
        <w:rPr>
          <w:rFonts w:ascii="Times New Roman Regular" w:hAnsi="Times New Roman Regular" w:cs="Times New Roman Regular"/>
        </w:rPr>
        <w:t>年昼间区域环境噪声等效声级符合二级水平，等级为</w:t>
      </w:r>
      <w:r>
        <w:rPr>
          <w:rFonts w:ascii="Times New Roman Regular" w:hAnsi="Times New Roman Regular" w:cs="Times New Roman Regular"/>
        </w:rPr>
        <w:t>“</w:t>
      </w:r>
      <w:r>
        <w:rPr>
          <w:rFonts w:ascii="Times New Roman Regular" w:hAnsi="Times New Roman Regular" w:cs="Times New Roman Regular"/>
        </w:rPr>
        <w:t>好</w:t>
      </w:r>
      <w:r>
        <w:rPr>
          <w:rFonts w:ascii="Times New Roman Regular" w:hAnsi="Times New Roman Regular" w:cs="Times New Roman Regular"/>
        </w:rPr>
        <w:t>”</w:t>
      </w:r>
      <w:r>
        <w:rPr>
          <w:rFonts w:ascii="Times New Roman Regular" w:hAnsi="Times New Roman Regular" w:cs="Times New Roman Regular"/>
        </w:rPr>
        <w:t>外，其余各年度的昼间区域环境噪声等效声级均为三级水平，等级为</w:t>
      </w:r>
      <w:r>
        <w:rPr>
          <w:rFonts w:ascii="Times New Roman Regular" w:hAnsi="Times New Roman Regular" w:cs="Times New Roman Regular"/>
        </w:rPr>
        <w:t>“</w:t>
      </w:r>
      <w:r>
        <w:rPr>
          <w:rFonts w:ascii="Times New Roman Regular" w:hAnsi="Times New Roman Regular" w:cs="Times New Roman Regular"/>
        </w:rPr>
        <w:t>一般</w:t>
      </w:r>
      <w:r>
        <w:rPr>
          <w:rFonts w:ascii="Times New Roman Regular" w:hAnsi="Times New Roman Regular" w:cs="Times New Roman Regular"/>
        </w:rPr>
        <w:t>”</w:t>
      </w:r>
      <w:r>
        <w:rPr>
          <w:rFonts w:ascii="Times New Roman Regular" w:hAnsi="Times New Roman Regular" w:cs="Times New Roman Regular"/>
        </w:rPr>
        <w:t>。生活噪声和交通噪声是影响太仓市城市区域环境噪声质量的主要因素。</w:t>
      </w:r>
    </w:p>
    <w:p w:rsidR="00B373FD">
      <w:pPr>
        <w:adjustRightInd w:val="0"/>
        <w:snapToGrid w:val="0"/>
        <w:ind w:firstLine="640" w:firstLineChars="200"/>
        <w:rPr>
          <w:rFonts w:ascii="Times New Roman Regular" w:hAnsi="Times New Roman Regular" w:cs="Times New Roman Regular"/>
        </w:rPr>
      </w:pPr>
      <w:r>
        <w:rPr>
          <w:rFonts w:ascii="Times New Roman Regular" w:hAnsi="Times New Roman Regular" w:cs="Times New Roman Regular"/>
        </w:rPr>
        <w:t>各类声功能区均符合《环境噪声监测技术规范城市声环境常规监测》（</w:t>
      </w:r>
      <w:r>
        <w:rPr>
          <w:rFonts w:ascii="Times New Roman Regular" w:hAnsi="Times New Roman Regular" w:cs="Times New Roman Regular"/>
        </w:rPr>
        <w:t>HJ640-2012</w:t>
      </w:r>
      <w:r>
        <w:rPr>
          <w:rFonts w:ascii="Times New Roman Regular" w:hAnsi="Times New Roman Regular" w:cs="Times New Roman Regular"/>
        </w:rPr>
        <w:t>）对应的标准，达标率为</w:t>
      </w:r>
      <w:r>
        <w:rPr>
          <w:rFonts w:ascii="Times New Roman Regular" w:hAnsi="Times New Roman Regular" w:cs="Times New Roman Regular"/>
        </w:rPr>
        <w:t>100%</w:t>
      </w:r>
      <w:r>
        <w:rPr>
          <w:rFonts w:ascii="Times New Roman Regular" w:hAnsi="Times New Roman Regular" w:cs="Times New Roman Regular"/>
        </w:rPr>
        <w:t>。</w:t>
      </w:r>
    </w:p>
    <w:p w:rsidR="00B373FD">
      <w:pPr>
        <w:adjustRightInd w:val="0"/>
        <w:snapToGrid w:val="0"/>
        <w:spacing w:line="580" w:lineRule="exact"/>
        <w:jc w:val="center"/>
        <w:rPr>
          <w:rFonts w:ascii="Times New Roman Regular" w:eastAsia="黑体" w:hAnsi="Times New Roman Regular" w:cs="Times New Roman Regular"/>
          <w:sz w:val="28"/>
          <w:szCs w:val="24"/>
        </w:rPr>
      </w:pPr>
      <w:r>
        <w:rPr>
          <w:noProof/>
        </w:rPr>
        <w:drawing>
          <wp:anchor distT="0" distB="0" distL="114300" distR="114300" simplePos="0" relativeHeight="251665408" behindDoc="0" locked="0" layoutInCell="1" allowOverlap="1">
            <wp:simplePos x="0" y="0"/>
            <wp:positionH relativeFrom="column">
              <wp:posOffset>9525</wp:posOffset>
            </wp:positionH>
            <wp:positionV relativeFrom="paragraph">
              <wp:posOffset>77470</wp:posOffset>
            </wp:positionV>
            <wp:extent cx="5269865" cy="2437130"/>
            <wp:effectExtent l="0" t="0" r="3175" b="1270"/>
            <wp:wrapSquare wrapText="bothSides"/>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pic:cNvPicPr>
                  </pic:nvPicPr>
                  <pic:blipFill>
                    <a:blip xmlns:r="http://schemas.openxmlformats.org/officeDocument/2006/relationships" r:embed="rId25"/>
                    <a:stretch>
                      <a:fillRect/>
                    </a:stretch>
                  </pic:blipFill>
                  <pic:spPr>
                    <a:xfrm>
                      <a:off x="0" y="0"/>
                      <a:ext cx="5269865" cy="2437130"/>
                    </a:xfrm>
                    <a:prstGeom prst="rect">
                      <a:avLst/>
                    </a:prstGeom>
                    <a:noFill/>
                    <a:ln>
                      <a:noFill/>
                    </a:ln>
                  </pic:spPr>
                </pic:pic>
              </a:graphicData>
            </a:graphic>
          </wp:anchor>
        </w:drawing>
      </w:r>
      <w:r>
        <w:rPr>
          <w:rFonts w:ascii="Times New Roman Regular" w:eastAsia="黑体" w:hAnsi="Times New Roman Regular" w:cs="Times New Roman Regular"/>
          <w:sz w:val="28"/>
          <w:szCs w:val="24"/>
        </w:rPr>
        <w:t>表</w:t>
      </w:r>
      <w:r>
        <w:rPr>
          <w:rFonts w:ascii="Times New Roman Regular" w:eastAsia="黑体" w:hAnsi="Times New Roman Regular" w:cs="Times New Roman Regular"/>
          <w:sz w:val="28"/>
          <w:szCs w:val="24"/>
        </w:rPr>
        <w:t>2-</w:t>
      </w:r>
      <w:r>
        <w:rPr>
          <w:rFonts w:ascii="Times New Roman Regular" w:eastAsia="黑体" w:hAnsi="Times New Roman Regular" w:cs="Times New Roman Regular" w:hint="eastAsia"/>
          <w:sz w:val="28"/>
          <w:szCs w:val="24"/>
        </w:rPr>
        <w:t xml:space="preserve">4  </w:t>
      </w:r>
      <w:r>
        <w:rPr>
          <w:rFonts w:ascii="Times New Roman Regular" w:eastAsia="黑体" w:hAnsi="Times New Roman Regular" w:cs="Times New Roman Regular"/>
          <w:sz w:val="28"/>
          <w:szCs w:val="24"/>
        </w:rPr>
        <w:t>“</w:t>
      </w:r>
      <w:r>
        <w:rPr>
          <w:rFonts w:ascii="Times New Roman Regular" w:eastAsia="黑体" w:hAnsi="Times New Roman Regular" w:cs="Times New Roman Regular"/>
          <w:sz w:val="28"/>
          <w:szCs w:val="24"/>
        </w:rPr>
        <w:t>十三五</w:t>
      </w:r>
      <w:r>
        <w:rPr>
          <w:rFonts w:ascii="Times New Roman Regular" w:eastAsia="黑体" w:hAnsi="Times New Roman Regular" w:cs="Times New Roman Regular"/>
          <w:sz w:val="28"/>
          <w:szCs w:val="24"/>
        </w:rPr>
        <w:t>”</w:t>
      </w:r>
      <w:r>
        <w:rPr>
          <w:rFonts w:ascii="Times New Roman Regular" w:eastAsia="黑体" w:hAnsi="Times New Roman Regular" w:cs="Times New Roman Regular"/>
          <w:sz w:val="28"/>
          <w:szCs w:val="24"/>
        </w:rPr>
        <w:t>太仓市</w:t>
      </w:r>
      <w:r>
        <w:rPr>
          <w:rFonts w:ascii="Times New Roman Regular" w:eastAsia="黑体" w:hAnsi="Times New Roman Regular" w:cs="Times New Roman Regular" w:hint="eastAsia"/>
          <w:sz w:val="28"/>
          <w:szCs w:val="24"/>
        </w:rPr>
        <w:t>城区昼间区域环境噪声变化趋势</w:t>
      </w:r>
    </w:p>
    <w:p w:rsidR="00B373FD">
      <w:pPr>
        <w:pStyle w:val="Heading3"/>
        <w:numPr>
          <w:ilvl w:val="2"/>
          <w:numId w:val="4"/>
        </w:numPr>
        <w:rPr>
          <w:rFonts w:ascii="Times New Roman Regular" w:hAnsi="Times New Roman Regular" w:cs="Times New Roman Regular"/>
        </w:rPr>
      </w:pPr>
      <w:r>
        <w:rPr>
          <w:rFonts w:ascii="Times New Roman Regular" w:hAnsi="Times New Roman Regular" w:cs="Times New Roman Regular"/>
        </w:rPr>
        <w:t>生态环境质量</w:t>
      </w:r>
    </w:p>
    <w:p w:rsidR="00B373FD">
      <w:pPr>
        <w:adjustRightInd w:val="0"/>
        <w:snapToGrid w:val="0"/>
        <w:ind w:firstLine="640" w:firstLineChars="200"/>
        <w:rPr>
          <w:rFonts w:ascii="Times New Roman Regular" w:hAnsi="Times New Roman Regular" w:cs="Times New Roman Regular"/>
        </w:rPr>
      </w:pPr>
      <w:r>
        <w:rPr>
          <w:rFonts w:ascii="Times New Roman Regular" w:hAnsi="Times New Roman Regular" w:cs="Times New Roman Regular"/>
        </w:rPr>
        <w:t>2020</w:t>
      </w:r>
      <w:r>
        <w:rPr>
          <w:rFonts w:ascii="Times New Roman Regular" w:hAnsi="Times New Roman Regular" w:cs="Times New Roman Regular"/>
        </w:rPr>
        <w:t>年末，全市耕地面积</w:t>
      </w:r>
      <w:r>
        <w:rPr>
          <w:rFonts w:ascii="Times New Roman Regular" w:hAnsi="Times New Roman Regular" w:cs="Times New Roman Regular"/>
        </w:rPr>
        <w:t>232.47</w:t>
      </w:r>
      <w:r>
        <w:rPr>
          <w:rFonts w:ascii="Times New Roman Regular" w:hAnsi="Times New Roman Regular" w:cs="Times New Roman Regular"/>
        </w:rPr>
        <w:t>平方千米，林地面积</w:t>
      </w:r>
      <w:r>
        <w:rPr>
          <w:rFonts w:ascii="Times New Roman Regular" w:hAnsi="Times New Roman Regular" w:cs="Times New Roman Regular"/>
        </w:rPr>
        <w:t>42.06</w:t>
      </w:r>
      <w:r>
        <w:rPr>
          <w:rFonts w:ascii="Times New Roman Regular" w:hAnsi="Times New Roman Regular" w:cs="Times New Roman Regular"/>
        </w:rPr>
        <w:t>平方千米，草地面积</w:t>
      </w:r>
      <w:r>
        <w:rPr>
          <w:rFonts w:ascii="Times New Roman Regular" w:hAnsi="Times New Roman Regular" w:cs="Times New Roman Regular"/>
        </w:rPr>
        <w:t>13.33</w:t>
      </w:r>
      <w:r>
        <w:rPr>
          <w:rFonts w:ascii="Times New Roman Regular" w:hAnsi="Times New Roman Regular" w:cs="Times New Roman Regular"/>
        </w:rPr>
        <w:t>平方千米，湿地面积</w:t>
      </w:r>
      <w:r>
        <w:rPr>
          <w:rFonts w:ascii="Times New Roman Regular" w:hAnsi="Times New Roman Regular" w:cs="Times New Roman Regular"/>
        </w:rPr>
        <w:t>18667.64</w:t>
      </w:r>
      <w:r>
        <w:rPr>
          <w:rFonts w:ascii="Times New Roman Regular" w:hAnsi="Times New Roman Regular" w:cs="Times New Roman Regular"/>
        </w:rPr>
        <w:t>公顷，建设用地面积</w:t>
      </w:r>
      <w:r>
        <w:rPr>
          <w:rFonts w:ascii="Times New Roman Regular" w:hAnsi="Times New Roman Regular" w:cs="Times New Roman Regular"/>
        </w:rPr>
        <w:t>246.68</w:t>
      </w:r>
      <w:r>
        <w:rPr>
          <w:rFonts w:ascii="Times New Roman Regular" w:hAnsi="Times New Roman Regular" w:cs="Times New Roman Regular"/>
        </w:rPr>
        <w:t>平方千米。建成区绿化覆盖率达</w:t>
      </w:r>
      <w:r>
        <w:rPr>
          <w:rFonts w:ascii="Times New Roman Regular" w:hAnsi="Times New Roman Regular" w:cs="Times New Roman Regular"/>
        </w:rPr>
        <w:t>41.09%</w:t>
      </w:r>
      <w:r>
        <w:rPr>
          <w:rFonts w:ascii="Times New Roman Regular" w:hAnsi="Times New Roman Regular" w:cs="Times New Roman Regular"/>
        </w:rPr>
        <w:t>，</w:t>
      </w:r>
      <w:r>
        <w:rPr>
          <w:rFonts w:ascii="Times New Roman Regular" w:eastAsia="仿宋" w:hAnsi="Times New Roman Regular" w:cs="Times New Roman Regular"/>
          <w:szCs w:val="32"/>
        </w:rPr>
        <w:t>新增成片林</w:t>
      </w:r>
      <w:r>
        <w:rPr>
          <w:rFonts w:ascii="Times New Roman Regular" w:eastAsia="仿宋" w:hAnsi="Times New Roman Regular" w:cs="Times New Roman Regular"/>
          <w:szCs w:val="32"/>
        </w:rPr>
        <w:t>8100</w:t>
      </w:r>
      <w:r>
        <w:rPr>
          <w:rFonts w:ascii="Times New Roman Regular" w:eastAsia="仿宋" w:hAnsi="Times New Roman Regular" w:cs="Times New Roman Regular"/>
          <w:szCs w:val="32"/>
        </w:rPr>
        <w:t>亩，林木覆盖率达到</w:t>
      </w:r>
      <w:r>
        <w:rPr>
          <w:rFonts w:ascii="Times New Roman Regular" w:eastAsia="仿宋" w:hAnsi="Times New Roman Regular" w:cs="Times New Roman Regular"/>
          <w:szCs w:val="32"/>
        </w:rPr>
        <w:t>18.60%</w:t>
      </w:r>
      <w:r>
        <w:rPr>
          <w:rFonts w:ascii="Times New Roman Regular" w:hAnsi="Times New Roman Regular" w:cs="Times New Roman Regular"/>
        </w:rPr>
        <w:t>。太仓市生态环境状况总体稳定，</w:t>
      </w:r>
      <w:r>
        <w:rPr>
          <w:rFonts w:ascii="Times New Roman Regular" w:hAnsi="Times New Roman Regular" w:cs="Times New Roman Regular"/>
        </w:rPr>
        <w:t>2020</w:t>
      </w:r>
      <w:r>
        <w:rPr>
          <w:rFonts w:ascii="Times New Roman Regular" w:hAnsi="Times New Roman Regular" w:cs="Times New Roman Regular"/>
        </w:rPr>
        <w:t>年生态环境质量指数达</w:t>
      </w:r>
      <w:r>
        <w:rPr>
          <w:rFonts w:ascii="Times New Roman Regular" w:hAnsi="Times New Roman Regular" w:cs="Times New Roman Regular"/>
        </w:rPr>
        <w:t>60.5</w:t>
      </w:r>
      <w:r>
        <w:rPr>
          <w:rFonts w:ascii="Times New Roman Regular" w:hAnsi="Times New Roman Regular" w:cs="Times New Roman Regular"/>
        </w:rPr>
        <w:t>，生态环境状况良好，植被覆盖度较高，生物多样性较丰富，是适合人类生活的地区。</w:t>
      </w:r>
    </w:p>
    <w:p w:rsidR="00B373FD">
      <w:pPr>
        <w:pStyle w:val="Heading2"/>
        <w:numPr>
          <w:ilvl w:val="1"/>
          <w:numId w:val="4"/>
        </w:numPr>
        <w:spacing w:before="156" w:after="156"/>
        <w:rPr>
          <w:rFonts w:ascii="Times New Roman Regular" w:hAnsi="Times New Roman Regular" w:cs="Times New Roman Regular"/>
        </w:rPr>
      </w:pPr>
      <w:bookmarkStart w:id="28" w:name="_Toc77862689"/>
      <w:r>
        <w:rPr>
          <w:rFonts w:ascii="Times New Roman Regular" w:hAnsi="Times New Roman Regular" w:cs="Times New Roman Regular"/>
        </w:rPr>
        <w:t>主要污染物排放情况</w:t>
      </w:r>
      <w:bookmarkEnd w:id="28"/>
    </w:p>
    <w:p w:rsidR="00B373FD">
      <w:pPr>
        <w:pStyle w:val="Heading3"/>
        <w:numPr>
          <w:ilvl w:val="2"/>
          <w:numId w:val="4"/>
        </w:numPr>
        <w:rPr>
          <w:rFonts w:ascii="Times New Roman Regular" w:hAnsi="Times New Roman Regular" w:cs="Times New Roman Regular"/>
        </w:rPr>
      </w:pPr>
      <w:r>
        <w:rPr>
          <w:rFonts w:ascii="Times New Roman Regular" w:hAnsi="Times New Roman Regular" w:cs="Times New Roman Regular"/>
        </w:rPr>
        <w:t>废气污染源排放情况</w:t>
      </w:r>
    </w:p>
    <w:p w:rsidR="00B373FD">
      <w:pPr>
        <w:adjustRightInd w:val="0"/>
        <w:snapToGrid w:val="0"/>
        <w:ind w:firstLine="640" w:firstLineChars="200"/>
        <w:rPr>
          <w:rFonts w:ascii="Times New Roman Regular" w:hAnsi="Times New Roman Regular" w:cs="Times New Roman Regular"/>
        </w:rPr>
      </w:pPr>
      <w:r>
        <w:rPr>
          <w:rFonts w:ascii="Times New Roman Regular" w:hAnsi="Times New Roman Regular" w:cs="Times New Roman Regular"/>
        </w:rPr>
        <w:t xml:space="preserve">2020 </w:t>
      </w:r>
      <w:r>
        <w:rPr>
          <w:rFonts w:ascii="Times New Roman Regular" w:hAnsi="Times New Roman Regular" w:cs="Times New Roman Regular"/>
        </w:rPr>
        <w:t>年全市工业废气排放量为</w:t>
      </w:r>
      <w:r>
        <w:rPr>
          <w:rFonts w:ascii="Times New Roman Regular" w:hAnsi="Times New Roman Regular" w:cs="Times New Roman Regular"/>
        </w:rPr>
        <w:t xml:space="preserve"> 1137.5 </w:t>
      </w:r>
      <w:r>
        <w:rPr>
          <w:rFonts w:ascii="Times New Roman Regular" w:hAnsi="Times New Roman Regular" w:cs="Times New Roman Regular"/>
        </w:rPr>
        <w:t>亿立方米，较上年度上升了</w:t>
      </w:r>
      <w:r>
        <w:rPr>
          <w:rFonts w:ascii="Times New Roman Regular" w:hAnsi="Times New Roman Regular" w:cs="Times New Roman Regular"/>
        </w:rPr>
        <w:t xml:space="preserve"> 3.7 </w:t>
      </w:r>
      <w:r>
        <w:rPr>
          <w:rFonts w:ascii="Times New Roman Regular" w:hAnsi="Times New Roman Regular" w:cs="Times New Roman Regular"/>
        </w:rPr>
        <w:t>亿立方米。全市工业废气排放呈明显行业特征，耗煤量占全市</w:t>
      </w:r>
      <w:r>
        <w:rPr>
          <w:rFonts w:ascii="Times New Roman Regular" w:hAnsi="Times New Roman Regular" w:cs="Times New Roman Regular"/>
        </w:rPr>
        <w:t>59.6%</w:t>
      </w:r>
      <w:r>
        <w:rPr>
          <w:rFonts w:ascii="Times New Roman Regular" w:hAnsi="Times New Roman Regular" w:cs="Times New Roman Regular"/>
        </w:rPr>
        <w:t>的火力发电业为废气排放量最</w:t>
      </w:r>
      <w:r>
        <w:rPr>
          <w:rFonts w:ascii="Times New Roman Regular" w:hAnsi="Times New Roman Regular" w:cs="Times New Roman Regular"/>
        </w:rPr>
        <w:t>大的行业，其排放量为</w:t>
      </w:r>
      <w:r>
        <w:rPr>
          <w:rFonts w:ascii="Times New Roman Regular" w:hAnsi="Times New Roman Regular" w:cs="Times New Roman Regular"/>
        </w:rPr>
        <w:t xml:space="preserve"> 511.5 </w:t>
      </w:r>
      <w:r>
        <w:rPr>
          <w:rFonts w:ascii="Times New Roman Regular" w:hAnsi="Times New Roman Regular" w:cs="Times New Roman Regular"/>
        </w:rPr>
        <w:t>亿立方米，占全市总量的</w:t>
      </w:r>
      <w:r>
        <w:rPr>
          <w:rFonts w:ascii="Times New Roman Regular" w:hAnsi="Times New Roman Regular" w:cs="Times New Roman Regular"/>
        </w:rPr>
        <w:t xml:space="preserve"> 45.0%</w:t>
      </w:r>
      <w:r>
        <w:rPr>
          <w:rFonts w:ascii="Times New Roman Regular" w:hAnsi="Times New Roman Regular" w:cs="Times New Roman Regular"/>
        </w:rPr>
        <w:t>；其次是热电联产业、机械纸及纸板制造业、炼钢业，其排放量分别为</w:t>
      </w:r>
      <w:r>
        <w:rPr>
          <w:rFonts w:ascii="Times New Roman Regular" w:hAnsi="Times New Roman Regular" w:cs="Times New Roman Regular"/>
        </w:rPr>
        <w:t xml:space="preserve"> 236.4 </w:t>
      </w:r>
      <w:r>
        <w:rPr>
          <w:rFonts w:ascii="Times New Roman Regular" w:hAnsi="Times New Roman Regular" w:cs="Times New Roman Regular"/>
        </w:rPr>
        <w:t>亿立方米、</w:t>
      </w:r>
      <w:r>
        <w:rPr>
          <w:rFonts w:ascii="Times New Roman Regular" w:hAnsi="Times New Roman Regular" w:cs="Times New Roman Regular"/>
        </w:rPr>
        <w:t xml:space="preserve">112.3 </w:t>
      </w:r>
      <w:r>
        <w:rPr>
          <w:rFonts w:ascii="Times New Roman Regular" w:hAnsi="Times New Roman Regular" w:cs="Times New Roman Regular"/>
        </w:rPr>
        <w:t>亿立方米、</w:t>
      </w:r>
      <w:r>
        <w:rPr>
          <w:rFonts w:ascii="Times New Roman Regular" w:hAnsi="Times New Roman Regular" w:cs="Times New Roman Regular"/>
        </w:rPr>
        <w:t xml:space="preserve">28.9 </w:t>
      </w:r>
      <w:r>
        <w:rPr>
          <w:rFonts w:ascii="Times New Roman Regular" w:hAnsi="Times New Roman Regular" w:cs="Times New Roman Regular"/>
        </w:rPr>
        <w:t>亿立方米，占全市总量的</w:t>
      </w:r>
      <w:r>
        <w:rPr>
          <w:rFonts w:ascii="Times New Roman Regular" w:hAnsi="Times New Roman Regular" w:cs="Times New Roman Regular"/>
        </w:rPr>
        <w:t xml:space="preserve"> 20.8%</w:t>
      </w:r>
      <w:r>
        <w:rPr>
          <w:rFonts w:ascii="Times New Roman Regular" w:hAnsi="Times New Roman Regular" w:cs="Times New Roman Regular"/>
        </w:rPr>
        <w:t>、</w:t>
      </w:r>
      <w:r>
        <w:rPr>
          <w:rFonts w:ascii="Times New Roman Regular" w:hAnsi="Times New Roman Regular" w:cs="Times New Roman Regular"/>
        </w:rPr>
        <w:t>9.9%</w:t>
      </w:r>
      <w:r>
        <w:rPr>
          <w:rFonts w:ascii="Times New Roman Regular" w:hAnsi="Times New Roman Regular" w:cs="Times New Roman Regular"/>
        </w:rPr>
        <w:t>、</w:t>
      </w:r>
      <w:r>
        <w:rPr>
          <w:rFonts w:ascii="Times New Roman Regular" w:hAnsi="Times New Roman Regular" w:cs="Times New Roman Regular"/>
        </w:rPr>
        <w:t>2.5%</w:t>
      </w:r>
      <w:r>
        <w:rPr>
          <w:rFonts w:ascii="Times New Roman Regular" w:hAnsi="Times New Roman Regular" w:cs="Times New Roman Regular" w:hint="eastAsia"/>
        </w:rPr>
        <w:t>。</w:t>
      </w:r>
    </w:p>
    <w:p w:rsidR="00B373FD">
      <w:pPr>
        <w:adjustRightInd w:val="0"/>
        <w:snapToGrid w:val="0"/>
        <w:spacing w:line="240" w:lineRule="auto"/>
        <w:jc w:val="center"/>
        <w:rPr>
          <w:rFonts w:ascii="Times New Roman Regular" w:hAnsi="Times New Roman Regular" w:cs="Times New Roman Regular"/>
        </w:rPr>
      </w:pPr>
      <w:r>
        <w:rPr>
          <w:rFonts w:ascii="Times New Roman Regular" w:hAnsi="Times New Roman Regular" w:cs="Times New Roman Regular"/>
          <w:noProof/>
        </w:rPr>
        <w:drawing>
          <wp:inline distT="0" distB="0" distL="114300" distR="114300">
            <wp:extent cx="5039995" cy="2753995"/>
            <wp:effectExtent l="12700" t="12700" r="27305" b="27305"/>
            <wp:docPr id="39" name="图片 6" descr="工业废气"/>
            <wp:cNvGraphicFramePr/>
            <a:graphic xmlns:a="http://schemas.openxmlformats.org/drawingml/2006/main">
              <a:graphicData uri="http://schemas.openxmlformats.org/drawingml/2006/picture">
                <pic:pic xmlns:pic="http://schemas.openxmlformats.org/drawingml/2006/picture">
                  <pic:nvPicPr>
                    <pic:cNvPr id="39" name="图片 6" descr="工业废气"/>
                    <pic:cNvPicPr/>
                  </pic:nvPicPr>
                  <pic:blipFill>
                    <a:blip xmlns:r="http://schemas.openxmlformats.org/officeDocument/2006/relationships" r:embed="rId26"/>
                    <a:srcRect t="11737" r="-169"/>
                    <a:stretch>
                      <a:fillRect/>
                    </a:stretch>
                  </pic:blipFill>
                  <pic:spPr>
                    <a:xfrm>
                      <a:off x="0" y="0"/>
                      <a:ext cx="5039995" cy="2753995"/>
                    </a:xfrm>
                    <a:prstGeom prst="rect">
                      <a:avLst/>
                    </a:prstGeom>
                    <a:noFill/>
                    <a:ln w="9525">
                      <a:solidFill>
                        <a:srgbClr val="D9D9D9"/>
                      </a:solidFill>
                      <a:miter lim="0"/>
                      <a:headEnd/>
                      <a:tailEnd/>
                    </a:ln>
                  </pic:spPr>
                </pic:pic>
              </a:graphicData>
            </a:graphic>
          </wp:inline>
        </w:drawing>
      </w:r>
    </w:p>
    <w:p w:rsidR="00B373FD">
      <w:pPr>
        <w:adjustRightInd w:val="0"/>
        <w:snapToGrid w:val="0"/>
        <w:spacing w:line="580" w:lineRule="exact"/>
        <w:jc w:val="center"/>
        <w:rPr>
          <w:rFonts w:ascii="Times New Roman Regular" w:eastAsia="黑体" w:hAnsi="Times New Roman Regular" w:cs="Times New Roman Regular"/>
          <w:sz w:val="28"/>
          <w:szCs w:val="24"/>
        </w:rPr>
      </w:pPr>
      <w:r>
        <w:rPr>
          <w:rFonts w:ascii="Times New Roman Regular" w:eastAsia="黑体" w:hAnsi="Times New Roman Regular" w:cs="Times New Roman Regular"/>
          <w:sz w:val="28"/>
          <w:szCs w:val="24"/>
        </w:rPr>
        <w:t>图</w:t>
      </w:r>
      <w:r>
        <w:rPr>
          <w:rFonts w:ascii="Times New Roman Regular" w:eastAsia="黑体" w:hAnsi="Times New Roman Regular" w:cs="Times New Roman Regular"/>
          <w:sz w:val="28"/>
          <w:szCs w:val="24"/>
        </w:rPr>
        <w:t xml:space="preserve">2-5 </w:t>
      </w:r>
      <w:r w:rsidR="00AB088D">
        <w:rPr>
          <w:rFonts w:ascii="Times New Roman Regular" w:eastAsia="黑体" w:hAnsi="Times New Roman Regular" w:cs="Times New Roman Regular"/>
          <w:sz w:val="28"/>
          <w:szCs w:val="24"/>
        </w:rPr>
        <w:t>2020</w:t>
      </w:r>
      <w:r w:rsidR="00AB088D">
        <w:rPr>
          <w:rFonts w:ascii="Times New Roman Regular" w:eastAsia="黑体" w:hAnsi="Times New Roman Regular" w:cs="Times New Roman Regular"/>
          <w:sz w:val="28"/>
          <w:szCs w:val="24"/>
        </w:rPr>
        <w:t>年</w:t>
      </w:r>
      <w:r>
        <w:rPr>
          <w:rFonts w:ascii="Times New Roman Regular" w:eastAsia="黑体" w:hAnsi="Times New Roman Regular" w:cs="Times New Roman Regular"/>
          <w:sz w:val="28"/>
          <w:szCs w:val="24"/>
        </w:rPr>
        <w:t>太仓市工业废气排放量行业分布图</w:t>
      </w:r>
    </w:p>
    <w:p w:rsidR="00B373FD">
      <w:pPr>
        <w:adjustRightInd w:val="0"/>
        <w:snapToGrid w:val="0"/>
        <w:ind w:firstLine="640" w:firstLineChars="200"/>
        <w:rPr>
          <w:rFonts w:ascii="Times New Roman Regular" w:hAnsi="Times New Roman Regular" w:cs="Times New Roman Regular"/>
        </w:rPr>
      </w:pPr>
      <w:r>
        <w:rPr>
          <w:rFonts w:ascii="Times New Roman Regular" w:hAnsi="Times New Roman Regular" w:cs="Times New Roman Regular"/>
        </w:rPr>
        <w:t xml:space="preserve">2020 </w:t>
      </w:r>
      <w:r>
        <w:rPr>
          <w:rFonts w:ascii="Times New Roman Regular" w:hAnsi="Times New Roman Regular" w:cs="Times New Roman Regular"/>
        </w:rPr>
        <w:t>年，全市工业废气中二氧化硫、氮氧化物、颗粒物、挥发性有机物（</w:t>
      </w:r>
      <w:r>
        <w:rPr>
          <w:rFonts w:ascii="Times New Roman Regular" w:hAnsi="Times New Roman Regular" w:cs="Times New Roman Regular"/>
        </w:rPr>
        <w:t>VOCs</w:t>
      </w:r>
      <w:r>
        <w:rPr>
          <w:rFonts w:ascii="Times New Roman Regular" w:hAnsi="Times New Roman Regular" w:cs="Times New Roman Regular"/>
        </w:rPr>
        <w:t>）的排放量</w:t>
      </w:r>
      <w:r>
        <w:rPr>
          <w:rFonts w:ascii="Times New Roman Regular" w:hAnsi="Times New Roman Regular" w:cs="Times New Roman Regular" w:hint="eastAsia"/>
        </w:rPr>
        <w:t>呈逐年下降趋势，</w:t>
      </w:r>
      <w:r>
        <w:rPr>
          <w:rFonts w:ascii="Times New Roman Regular" w:hAnsi="Times New Roman Regular" w:cs="Times New Roman Regular"/>
        </w:rPr>
        <w:t>分别为</w:t>
      </w:r>
      <w:r>
        <w:rPr>
          <w:rFonts w:ascii="Times New Roman Regular" w:hAnsi="Times New Roman Regular" w:cs="Times New Roman Regular"/>
        </w:rPr>
        <w:t xml:space="preserve"> 2494.3 </w:t>
      </w:r>
      <w:r>
        <w:rPr>
          <w:rFonts w:ascii="Times New Roman Regular" w:hAnsi="Times New Roman Regular" w:cs="Times New Roman Regular"/>
        </w:rPr>
        <w:t>吨、</w:t>
      </w:r>
      <w:r>
        <w:rPr>
          <w:rFonts w:ascii="Times New Roman Regular" w:hAnsi="Times New Roman Regular" w:cs="Times New Roman Regular"/>
        </w:rPr>
        <w:t xml:space="preserve">6191.6 </w:t>
      </w:r>
      <w:r>
        <w:rPr>
          <w:rFonts w:ascii="Times New Roman Regular" w:hAnsi="Times New Roman Regular" w:cs="Times New Roman Regular"/>
        </w:rPr>
        <w:t>吨、</w:t>
      </w:r>
      <w:r>
        <w:rPr>
          <w:rFonts w:ascii="Times New Roman Regular" w:hAnsi="Times New Roman Regular" w:cs="Times New Roman Regular"/>
        </w:rPr>
        <w:t>504.8</w:t>
      </w:r>
      <w:r>
        <w:rPr>
          <w:rFonts w:ascii="Times New Roman Regular" w:hAnsi="Times New Roman Regular" w:cs="Times New Roman Regular"/>
        </w:rPr>
        <w:t>吨、</w:t>
      </w:r>
      <w:r>
        <w:rPr>
          <w:rFonts w:ascii="Times New Roman Regular" w:hAnsi="Times New Roman Regular" w:cs="Times New Roman Regular"/>
        </w:rPr>
        <w:t>475.8</w:t>
      </w:r>
      <w:r>
        <w:rPr>
          <w:rFonts w:ascii="Times New Roman Regular" w:hAnsi="Times New Roman Regular" w:cs="Times New Roman Regular"/>
        </w:rPr>
        <w:t>吨。</w:t>
      </w:r>
    </w:p>
    <w:p w:rsidR="00B373FD">
      <w:pPr>
        <w:adjustRightInd w:val="0"/>
        <w:snapToGrid w:val="0"/>
        <w:ind w:firstLine="640" w:firstLineChars="200"/>
        <w:rPr>
          <w:rFonts w:ascii="Times New Roman Regular" w:hAnsi="Times New Roman Regular" w:cs="Times New Roman Regular"/>
        </w:rPr>
      </w:pPr>
      <w:r>
        <w:rPr>
          <w:rFonts w:ascii="Times New Roman Regular" w:hAnsi="Times New Roman Regular" w:cs="Times New Roman Regular"/>
        </w:rPr>
        <w:t>从行业分布分析，火力发电业、热电联产业和机械纸及纸板制造业是全市废气污染物排放的前三大行业，其二氧化硫、氮氧化物、颗粒物排放量之和分别占全市总量的</w:t>
      </w:r>
      <w:r>
        <w:rPr>
          <w:rFonts w:ascii="Times New Roman Regular" w:hAnsi="Times New Roman Regular" w:cs="Times New Roman Regular"/>
        </w:rPr>
        <w:t>98.3%</w:t>
      </w:r>
      <w:r>
        <w:rPr>
          <w:rFonts w:ascii="Times New Roman Regular" w:hAnsi="Times New Roman Regular" w:cs="Times New Roman Regular"/>
        </w:rPr>
        <w:t>、</w:t>
      </w:r>
      <w:r>
        <w:rPr>
          <w:rFonts w:ascii="Times New Roman Regular" w:hAnsi="Times New Roman Regular" w:cs="Times New Roman Regular"/>
        </w:rPr>
        <w:t>94.4%</w:t>
      </w:r>
      <w:r>
        <w:rPr>
          <w:rFonts w:ascii="Times New Roman Regular" w:hAnsi="Times New Roman Regular" w:cs="Times New Roman Regular"/>
        </w:rPr>
        <w:t>、</w:t>
      </w:r>
      <w:r>
        <w:rPr>
          <w:rFonts w:ascii="Times New Roman Regular" w:hAnsi="Times New Roman Regular" w:cs="Times New Roman Regular"/>
        </w:rPr>
        <w:t>86.5%</w:t>
      </w:r>
      <w:r>
        <w:rPr>
          <w:rFonts w:ascii="Times New Roman Regular" w:hAnsi="Times New Roman Regular" w:cs="Times New Roman Regular"/>
        </w:rPr>
        <w:t>。</w:t>
      </w:r>
    </w:p>
    <w:p w:rsidR="00B373FD">
      <w:pPr>
        <w:adjustRightInd w:val="0"/>
        <w:snapToGrid w:val="0"/>
        <w:ind w:firstLine="640" w:firstLineChars="200"/>
        <w:rPr>
          <w:rFonts w:ascii="Times New Roman Regular" w:hAnsi="Times New Roman Regular" w:cs="Times New Roman Regular"/>
        </w:rPr>
      </w:pPr>
    </w:p>
    <w:p w:rsidR="00B373FD">
      <w:pPr>
        <w:adjustRightInd w:val="0"/>
        <w:snapToGrid w:val="0"/>
        <w:ind w:firstLine="640" w:firstLineChars="200"/>
        <w:rPr>
          <w:rFonts w:ascii="Times New Roman Regular" w:hAnsi="Times New Roman Regular" w:cs="Times New Roman Regular"/>
        </w:rPr>
      </w:pPr>
    </w:p>
    <w:p w:rsidR="00B373FD">
      <w:pPr>
        <w:adjustRightInd w:val="0"/>
        <w:snapToGrid w:val="0"/>
        <w:ind w:firstLine="640" w:firstLineChars="200"/>
        <w:rPr>
          <w:rFonts w:ascii="Times New Roman Regular" w:hAnsi="Times New Roman Regular" w:cs="Times New Roman Regular"/>
        </w:rPr>
      </w:pPr>
    </w:p>
    <w:p w:rsidR="00B373FD">
      <w:pPr>
        <w:adjustRightInd w:val="0"/>
        <w:snapToGrid w:val="0"/>
        <w:spacing w:line="580" w:lineRule="exact"/>
        <w:jc w:val="center"/>
        <w:rPr>
          <w:rFonts w:ascii="Times New Roman Regular" w:eastAsia="黑体" w:hAnsi="Times New Roman Regular" w:cs="Times New Roman Regular"/>
          <w:sz w:val="28"/>
          <w:szCs w:val="24"/>
        </w:rPr>
      </w:pPr>
      <w:r>
        <w:rPr>
          <w:rFonts w:ascii="Times New Roman Regular" w:hAnsi="Times New Roman Regular" w:cs="Times New Roman Regular"/>
          <w:noProof/>
        </w:rPr>
        <w:drawing>
          <wp:anchor distT="0" distB="0" distL="114935" distR="114935" simplePos="0" relativeHeight="251658240" behindDoc="0" locked="0" layoutInCell="1" allowOverlap="1">
            <wp:simplePos x="0" y="0"/>
            <wp:positionH relativeFrom="column">
              <wp:posOffset>322580</wp:posOffset>
            </wp:positionH>
            <wp:positionV relativeFrom="paragraph">
              <wp:posOffset>95250</wp:posOffset>
            </wp:positionV>
            <wp:extent cx="4632325" cy="2790825"/>
            <wp:effectExtent l="0" t="0" r="15875" b="9525"/>
            <wp:wrapSquare wrapText="bothSides"/>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Pr>
          <w:rFonts w:ascii="Times New Roman Regular" w:eastAsia="黑体" w:hAnsi="Times New Roman Regular" w:cs="Times New Roman Regular"/>
          <w:sz w:val="28"/>
          <w:szCs w:val="24"/>
        </w:rPr>
        <w:t>图</w:t>
      </w:r>
      <w:r>
        <w:rPr>
          <w:rFonts w:ascii="Times New Roman Regular" w:eastAsia="黑体" w:hAnsi="Times New Roman Regular" w:cs="Times New Roman Regular"/>
          <w:sz w:val="28"/>
          <w:szCs w:val="24"/>
        </w:rPr>
        <w:t xml:space="preserve">2-6 </w:t>
      </w:r>
      <w:r>
        <w:rPr>
          <w:rFonts w:ascii="Times New Roman Regular" w:eastAsia="黑体" w:hAnsi="Times New Roman Regular" w:cs="Times New Roman Regular"/>
          <w:sz w:val="28"/>
          <w:szCs w:val="24"/>
        </w:rPr>
        <w:t>太仓市工业废气及主要污染物排放量统计图</w:t>
      </w:r>
    </w:p>
    <w:p w:rsidR="00B373FD">
      <w:pPr>
        <w:pStyle w:val="Heading3"/>
        <w:numPr>
          <w:ilvl w:val="2"/>
          <w:numId w:val="4"/>
        </w:numPr>
        <w:rPr>
          <w:rFonts w:ascii="Times New Roman Regular" w:hAnsi="Times New Roman Regular" w:cs="Times New Roman Regular"/>
        </w:rPr>
      </w:pPr>
      <w:r>
        <w:rPr>
          <w:rFonts w:ascii="Times New Roman Regular" w:hAnsi="Times New Roman Regular" w:cs="Times New Roman Regular"/>
        </w:rPr>
        <w:t>废水污染源排放情况</w:t>
      </w:r>
    </w:p>
    <w:p w:rsidR="00B373FD">
      <w:pPr>
        <w:adjustRightInd w:val="0"/>
        <w:snapToGrid w:val="0"/>
        <w:ind w:firstLine="640" w:firstLineChars="200"/>
        <w:rPr>
          <w:rFonts w:ascii="Times New Roman Regular" w:hAnsi="Times New Roman Regular" w:cs="Times New Roman Regular"/>
        </w:rPr>
      </w:pPr>
      <w:r>
        <w:rPr>
          <w:rFonts w:ascii="Times New Roman Regular" w:hAnsi="Times New Roman Regular" w:cs="Times New Roman Regular"/>
        </w:rPr>
        <w:t xml:space="preserve">2020 </w:t>
      </w:r>
      <w:r>
        <w:rPr>
          <w:rFonts w:ascii="Times New Roman Regular" w:hAnsi="Times New Roman Regular" w:cs="Times New Roman Regular"/>
        </w:rPr>
        <w:t>年，全市工业废水排放量为</w:t>
      </w:r>
      <w:r>
        <w:rPr>
          <w:rFonts w:ascii="Times New Roman Regular" w:hAnsi="Times New Roman Regular" w:cs="Times New Roman Regular"/>
        </w:rPr>
        <w:t xml:space="preserve"> 3421.6 </w:t>
      </w:r>
      <w:r>
        <w:rPr>
          <w:rFonts w:ascii="Times New Roman Regular" w:hAnsi="Times New Roman Regular" w:cs="Times New Roman Regular"/>
        </w:rPr>
        <w:t>万吨，与</w:t>
      </w:r>
      <w:r>
        <w:rPr>
          <w:rFonts w:ascii="Times New Roman Regular" w:hAnsi="Times New Roman Regular" w:cs="Times New Roman Regular"/>
        </w:rPr>
        <w:t xml:space="preserve"> 2019 </w:t>
      </w:r>
      <w:r>
        <w:rPr>
          <w:rFonts w:ascii="Times New Roman Regular" w:hAnsi="Times New Roman Regular" w:cs="Times New Roman Regular"/>
        </w:rPr>
        <w:t>年相比，工业废水排放量增加了</w:t>
      </w:r>
      <w:r>
        <w:rPr>
          <w:rFonts w:ascii="Times New Roman Regular" w:hAnsi="Times New Roman Regular" w:cs="Times New Roman Regular"/>
        </w:rPr>
        <w:t xml:space="preserve"> 467.8 </w:t>
      </w:r>
      <w:r>
        <w:rPr>
          <w:rFonts w:ascii="Times New Roman Regular" w:hAnsi="Times New Roman Regular" w:cs="Times New Roman Regular"/>
        </w:rPr>
        <w:t>万吨。工业废水排放主要行业是机械纸及纸板制造业，其次是化纤织物染整精加工业、棉印染精加工业、金属表面处理及热处理加工业，四个行业合计工业废水排放量占全市总量的</w:t>
      </w:r>
      <w:r>
        <w:rPr>
          <w:rFonts w:ascii="Times New Roman Regular" w:hAnsi="Times New Roman Regular" w:cs="Times New Roman Regular"/>
        </w:rPr>
        <w:t xml:space="preserve"> 81.9%</w:t>
      </w:r>
      <w:r>
        <w:rPr>
          <w:rFonts w:ascii="Times New Roman Regular" w:hAnsi="Times New Roman Regular" w:cs="Times New Roman Regular"/>
        </w:rPr>
        <w:t>。</w:t>
      </w:r>
    </w:p>
    <w:p w:rsidR="00B373FD">
      <w:pPr>
        <w:adjustRightInd w:val="0"/>
        <w:snapToGrid w:val="0"/>
        <w:jc w:val="center"/>
        <w:rPr>
          <w:rFonts w:ascii="Times New Roman Regular" w:eastAsia="黑体" w:hAnsi="Times New Roman Regular" w:cs="Times New Roman Regular"/>
        </w:rPr>
      </w:pPr>
      <w:r>
        <w:rPr>
          <w:rFonts w:ascii="Times New Roman Regular" w:eastAsia="黑体" w:hAnsi="Times New Roman Regular" w:cs="Times New Roman Regular"/>
          <w:sz w:val="28"/>
          <w:szCs w:val="24"/>
        </w:rPr>
        <w:t>表</w:t>
      </w:r>
      <w:r>
        <w:rPr>
          <w:rFonts w:ascii="Times New Roman Regular" w:eastAsia="黑体" w:hAnsi="Times New Roman Regular" w:cs="Times New Roman Regular"/>
          <w:sz w:val="28"/>
          <w:szCs w:val="24"/>
        </w:rPr>
        <w:t>2-</w:t>
      </w:r>
      <w:r>
        <w:rPr>
          <w:rFonts w:ascii="Times New Roman Regular" w:eastAsia="黑体" w:hAnsi="Times New Roman Regular" w:cs="Times New Roman Regular" w:hint="eastAsia"/>
          <w:sz w:val="28"/>
          <w:szCs w:val="24"/>
        </w:rPr>
        <w:t>1</w:t>
      </w:r>
      <w:r>
        <w:rPr>
          <w:rFonts w:ascii="Times New Roman Regular" w:eastAsia="黑体" w:hAnsi="Times New Roman Regular" w:cs="Times New Roman Regular"/>
          <w:sz w:val="28"/>
          <w:szCs w:val="24"/>
        </w:rPr>
        <w:t xml:space="preserve"> 2020</w:t>
      </w:r>
      <w:r>
        <w:rPr>
          <w:rFonts w:ascii="Times New Roman Regular" w:eastAsia="黑体" w:hAnsi="Times New Roman Regular" w:cs="Times New Roman Regular"/>
          <w:sz w:val="28"/>
          <w:szCs w:val="24"/>
        </w:rPr>
        <w:t>年太仓市重点行业废水排放情况</w:t>
      </w:r>
    </w:p>
    <w:tbl>
      <w:tblPr>
        <w:tblW w:w="49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17"/>
        <w:gridCol w:w="2185"/>
        <w:gridCol w:w="2171"/>
      </w:tblGrid>
      <w:tr>
        <w:tblPrEx>
          <w:tblW w:w="49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hRule="exact" w:val="510"/>
          <w:jc w:val="center"/>
        </w:trPr>
        <w:tc>
          <w:tcPr>
            <w:tcW w:w="2367" w:type="pct"/>
            <w:vAlign w:val="center"/>
          </w:tcPr>
          <w:p w:rsidR="00B373FD">
            <w:pPr>
              <w:widowControl/>
              <w:adjustRightInd w:val="0"/>
              <w:jc w:val="center"/>
              <w:rPr>
                <w:rFonts w:ascii="Times New Roman Regular" w:eastAsia="宋体" w:hAnsi="Times New Roman Regular" w:cs="Times New Roman Regular"/>
                <w:b/>
                <w:bCs/>
                <w:color w:val="0D0D0D"/>
                <w:kern w:val="0"/>
                <w:sz w:val="24"/>
                <w:szCs w:val="24"/>
              </w:rPr>
            </w:pPr>
            <w:r>
              <w:rPr>
                <w:rFonts w:ascii="Times New Roman Regular" w:eastAsia="宋体" w:hAnsi="Times New Roman Regular" w:cs="Times New Roman Regular"/>
                <w:b/>
                <w:bCs/>
                <w:color w:val="0D0D0D"/>
                <w:kern w:val="0"/>
                <w:sz w:val="24"/>
                <w:szCs w:val="24"/>
              </w:rPr>
              <w:t>行业</w:t>
            </w:r>
          </w:p>
        </w:tc>
        <w:tc>
          <w:tcPr>
            <w:tcW w:w="1320" w:type="pct"/>
            <w:vAlign w:val="center"/>
          </w:tcPr>
          <w:p w:rsidR="00B373FD">
            <w:pPr>
              <w:widowControl/>
              <w:adjustRightInd w:val="0"/>
              <w:jc w:val="center"/>
              <w:rPr>
                <w:rFonts w:ascii="Times New Roman Regular" w:eastAsia="宋体" w:hAnsi="Times New Roman Regular" w:cs="Times New Roman Regular"/>
                <w:b/>
                <w:bCs/>
                <w:color w:val="0D0D0D"/>
                <w:kern w:val="0"/>
                <w:sz w:val="24"/>
                <w:szCs w:val="24"/>
              </w:rPr>
            </w:pPr>
            <w:r>
              <w:rPr>
                <w:rFonts w:ascii="Times New Roman Regular" w:eastAsia="宋体" w:hAnsi="Times New Roman Regular" w:cs="Times New Roman Regular"/>
                <w:b/>
                <w:bCs/>
                <w:color w:val="0D0D0D"/>
                <w:kern w:val="0"/>
                <w:sz w:val="24"/>
                <w:szCs w:val="24"/>
              </w:rPr>
              <w:t>排放量（万吨）</w:t>
            </w:r>
          </w:p>
        </w:tc>
        <w:tc>
          <w:tcPr>
            <w:tcW w:w="1311" w:type="pct"/>
            <w:vAlign w:val="center"/>
          </w:tcPr>
          <w:p w:rsidR="00B373FD">
            <w:pPr>
              <w:widowControl/>
              <w:adjustRightInd w:val="0"/>
              <w:jc w:val="center"/>
              <w:rPr>
                <w:rFonts w:ascii="Times New Roman Regular" w:eastAsia="宋体" w:hAnsi="Times New Roman Regular" w:cs="Times New Roman Regular"/>
                <w:b/>
                <w:bCs/>
                <w:color w:val="0D0D0D"/>
                <w:kern w:val="0"/>
                <w:sz w:val="24"/>
                <w:szCs w:val="24"/>
              </w:rPr>
            </w:pPr>
            <w:r>
              <w:rPr>
                <w:rFonts w:ascii="Times New Roman Regular" w:eastAsia="宋体" w:hAnsi="Times New Roman Regular" w:cs="Times New Roman Regular"/>
                <w:b/>
                <w:bCs/>
                <w:color w:val="0D0D0D"/>
                <w:kern w:val="0"/>
                <w:sz w:val="24"/>
                <w:szCs w:val="24"/>
              </w:rPr>
              <w:t>占全市（</w:t>
            </w:r>
            <w:r>
              <w:rPr>
                <w:rFonts w:ascii="Times New Roman Regular" w:eastAsia="宋体" w:hAnsi="Times New Roman Regular" w:cs="Times New Roman Regular"/>
                <w:b/>
                <w:bCs/>
                <w:color w:val="0D0D0D"/>
                <w:kern w:val="0"/>
                <w:sz w:val="24"/>
                <w:szCs w:val="24"/>
              </w:rPr>
              <w:t>%</w:t>
            </w:r>
            <w:r>
              <w:rPr>
                <w:rFonts w:ascii="Times New Roman Regular" w:eastAsia="宋体" w:hAnsi="Times New Roman Regular" w:cs="Times New Roman Regular"/>
                <w:b/>
                <w:bCs/>
                <w:color w:val="0D0D0D"/>
                <w:kern w:val="0"/>
                <w:sz w:val="24"/>
                <w:szCs w:val="24"/>
              </w:rPr>
              <w:t>）</w:t>
            </w:r>
          </w:p>
        </w:tc>
      </w:tr>
      <w:tr>
        <w:tblPrEx>
          <w:tblW w:w="4986" w:type="pct"/>
          <w:jc w:val="center"/>
          <w:tblLayout w:type="fixed"/>
          <w:tblLook w:val="04A0"/>
        </w:tblPrEx>
        <w:trPr>
          <w:trHeight w:hRule="exact" w:val="510"/>
          <w:jc w:val="center"/>
        </w:trPr>
        <w:tc>
          <w:tcPr>
            <w:tcW w:w="2367" w:type="pct"/>
            <w:vAlign w:val="center"/>
          </w:tcPr>
          <w:p w:rsidR="00B373FD">
            <w:pPr>
              <w:widowControl/>
              <w:adjustRightInd w:val="0"/>
              <w:jc w:val="center"/>
              <w:rPr>
                <w:rFonts w:ascii="Times New Roman Regular" w:eastAsia="宋体" w:hAnsi="Times New Roman Regular" w:cs="Times New Roman Regular"/>
                <w:color w:val="0D0D0D"/>
                <w:kern w:val="0"/>
                <w:sz w:val="24"/>
                <w:szCs w:val="24"/>
              </w:rPr>
            </w:pPr>
            <w:r>
              <w:rPr>
                <w:rFonts w:ascii="Times New Roman Regular" w:eastAsia="宋体" w:hAnsi="Times New Roman Regular" w:cs="Times New Roman Regular"/>
                <w:color w:val="0D0D0D"/>
                <w:kern w:val="0"/>
                <w:sz w:val="24"/>
                <w:szCs w:val="24"/>
              </w:rPr>
              <w:t>机械纸及纸板制造业</w:t>
            </w:r>
          </w:p>
        </w:tc>
        <w:tc>
          <w:tcPr>
            <w:tcW w:w="1320" w:type="pct"/>
            <w:vAlign w:val="center"/>
          </w:tcPr>
          <w:p w:rsidR="00B373FD">
            <w:pPr>
              <w:widowControl/>
              <w:adjustRightInd w:val="0"/>
              <w:jc w:val="center"/>
              <w:rPr>
                <w:rFonts w:ascii="Times New Roman Regular" w:eastAsia="宋体" w:hAnsi="Times New Roman Regular" w:cs="Times New Roman Regular"/>
                <w:color w:val="0D0D0D"/>
                <w:kern w:val="0"/>
                <w:sz w:val="24"/>
                <w:szCs w:val="24"/>
              </w:rPr>
            </w:pPr>
            <w:r>
              <w:rPr>
                <w:rFonts w:ascii="Times New Roman Regular" w:eastAsia="宋体" w:hAnsi="Times New Roman Regular" w:cs="Times New Roman Regular"/>
                <w:color w:val="0D0D0D"/>
                <w:kern w:val="0"/>
                <w:sz w:val="24"/>
                <w:szCs w:val="24"/>
              </w:rPr>
              <w:t>2246.4</w:t>
            </w:r>
          </w:p>
        </w:tc>
        <w:tc>
          <w:tcPr>
            <w:tcW w:w="1311" w:type="pct"/>
            <w:vAlign w:val="center"/>
          </w:tcPr>
          <w:p w:rsidR="00B373FD">
            <w:pPr>
              <w:widowControl/>
              <w:adjustRightInd w:val="0"/>
              <w:jc w:val="center"/>
              <w:rPr>
                <w:rFonts w:ascii="Times New Roman Regular" w:eastAsia="宋体" w:hAnsi="Times New Roman Regular" w:cs="Times New Roman Regular"/>
                <w:color w:val="0D0D0D"/>
                <w:kern w:val="0"/>
                <w:sz w:val="24"/>
                <w:szCs w:val="24"/>
              </w:rPr>
            </w:pPr>
            <w:r>
              <w:rPr>
                <w:rFonts w:ascii="Times New Roman Regular" w:eastAsia="宋体" w:hAnsi="Times New Roman Regular" w:cs="Times New Roman Regular"/>
                <w:color w:val="0D0D0D"/>
                <w:kern w:val="0"/>
                <w:sz w:val="24"/>
                <w:szCs w:val="24"/>
              </w:rPr>
              <w:t>65.6</w:t>
            </w:r>
          </w:p>
        </w:tc>
      </w:tr>
      <w:tr>
        <w:tblPrEx>
          <w:tblW w:w="4986" w:type="pct"/>
          <w:jc w:val="center"/>
          <w:tblLayout w:type="fixed"/>
          <w:tblLook w:val="04A0"/>
        </w:tblPrEx>
        <w:trPr>
          <w:trHeight w:hRule="exact" w:val="510"/>
          <w:jc w:val="center"/>
        </w:trPr>
        <w:tc>
          <w:tcPr>
            <w:tcW w:w="2367" w:type="pct"/>
            <w:vAlign w:val="center"/>
          </w:tcPr>
          <w:p w:rsidR="00B373FD">
            <w:pPr>
              <w:widowControl/>
              <w:adjustRightInd w:val="0"/>
              <w:jc w:val="center"/>
              <w:rPr>
                <w:rFonts w:ascii="Times New Roman Regular" w:eastAsia="宋体" w:hAnsi="Times New Roman Regular" w:cs="Times New Roman Regular"/>
                <w:color w:val="0D0D0D"/>
                <w:kern w:val="0"/>
                <w:sz w:val="24"/>
                <w:szCs w:val="24"/>
              </w:rPr>
            </w:pPr>
            <w:r>
              <w:rPr>
                <w:rFonts w:ascii="Times New Roman Regular" w:eastAsia="宋体" w:hAnsi="Times New Roman Regular" w:cs="Times New Roman Regular"/>
                <w:color w:val="0D0D0D"/>
                <w:kern w:val="0"/>
                <w:sz w:val="24"/>
                <w:szCs w:val="24"/>
              </w:rPr>
              <w:t>化纤织物染整精加工业</w:t>
            </w:r>
          </w:p>
        </w:tc>
        <w:tc>
          <w:tcPr>
            <w:tcW w:w="1320" w:type="pct"/>
            <w:vAlign w:val="center"/>
          </w:tcPr>
          <w:p w:rsidR="00B373FD">
            <w:pPr>
              <w:widowControl/>
              <w:adjustRightInd w:val="0"/>
              <w:jc w:val="center"/>
              <w:rPr>
                <w:rFonts w:ascii="Times New Roman Regular" w:eastAsia="宋体" w:hAnsi="Times New Roman Regular" w:cs="Times New Roman Regular"/>
                <w:color w:val="0D0D0D"/>
                <w:kern w:val="0"/>
                <w:sz w:val="24"/>
                <w:szCs w:val="24"/>
              </w:rPr>
            </w:pPr>
            <w:r>
              <w:rPr>
                <w:rFonts w:ascii="Times New Roman Regular" w:eastAsia="宋体" w:hAnsi="Times New Roman Regular" w:cs="Times New Roman Regular"/>
                <w:color w:val="0D0D0D"/>
                <w:kern w:val="0"/>
                <w:sz w:val="24"/>
                <w:szCs w:val="24"/>
              </w:rPr>
              <w:t>243.3</w:t>
            </w:r>
          </w:p>
        </w:tc>
        <w:tc>
          <w:tcPr>
            <w:tcW w:w="1311" w:type="pct"/>
            <w:vAlign w:val="center"/>
          </w:tcPr>
          <w:p w:rsidR="00B373FD">
            <w:pPr>
              <w:widowControl/>
              <w:adjustRightInd w:val="0"/>
              <w:jc w:val="center"/>
              <w:rPr>
                <w:rFonts w:ascii="Times New Roman Regular" w:eastAsia="宋体" w:hAnsi="Times New Roman Regular" w:cs="Times New Roman Regular"/>
                <w:color w:val="0D0D0D"/>
                <w:kern w:val="0"/>
                <w:sz w:val="24"/>
                <w:szCs w:val="24"/>
              </w:rPr>
            </w:pPr>
            <w:r>
              <w:rPr>
                <w:rFonts w:ascii="Times New Roman Regular" w:eastAsia="宋体" w:hAnsi="Times New Roman Regular" w:cs="Times New Roman Regular"/>
                <w:color w:val="0D0D0D"/>
                <w:kern w:val="0"/>
                <w:sz w:val="24"/>
                <w:szCs w:val="24"/>
              </w:rPr>
              <w:t>7.1</w:t>
            </w:r>
          </w:p>
        </w:tc>
      </w:tr>
      <w:tr>
        <w:tblPrEx>
          <w:tblW w:w="4986" w:type="pct"/>
          <w:jc w:val="center"/>
          <w:tblLayout w:type="fixed"/>
          <w:tblLook w:val="04A0"/>
        </w:tblPrEx>
        <w:trPr>
          <w:trHeight w:hRule="exact" w:val="510"/>
          <w:jc w:val="center"/>
        </w:trPr>
        <w:tc>
          <w:tcPr>
            <w:tcW w:w="2367" w:type="pct"/>
            <w:vAlign w:val="center"/>
          </w:tcPr>
          <w:p w:rsidR="00B373FD">
            <w:pPr>
              <w:widowControl/>
              <w:adjustRightInd w:val="0"/>
              <w:jc w:val="center"/>
              <w:rPr>
                <w:rFonts w:ascii="Times New Roman Regular" w:eastAsia="宋体" w:hAnsi="Times New Roman Regular" w:cs="Times New Roman Regular"/>
                <w:color w:val="0D0D0D"/>
                <w:kern w:val="0"/>
                <w:sz w:val="24"/>
                <w:szCs w:val="24"/>
              </w:rPr>
            </w:pPr>
            <w:r>
              <w:rPr>
                <w:rFonts w:ascii="Times New Roman Regular" w:eastAsia="宋体" w:hAnsi="Times New Roman Regular" w:cs="Times New Roman Regular"/>
                <w:color w:val="0D0D0D"/>
                <w:kern w:val="0"/>
                <w:sz w:val="24"/>
                <w:szCs w:val="24"/>
              </w:rPr>
              <w:t>棉印染精加工业</w:t>
            </w:r>
          </w:p>
        </w:tc>
        <w:tc>
          <w:tcPr>
            <w:tcW w:w="1320" w:type="pct"/>
            <w:vAlign w:val="center"/>
          </w:tcPr>
          <w:p w:rsidR="00B373FD">
            <w:pPr>
              <w:widowControl/>
              <w:adjustRightInd w:val="0"/>
              <w:jc w:val="center"/>
              <w:rPr>
                <w:rFonts w:ascii="Times New Roman Regular" w:eastAsia="宋体" w:hAnsi="Times New Roman Regular" w:cs="Times New Roman Regular"/>
                <w:color w:val="0D0D0D"/>
                <w:kern w:val="0"/>
                <w:sz w:val="24"/>
                <w:szCs w:val="24"/>
              </w:rPr>
            </w:pPr>
            <w:r>
              <w:rPr>
                <w:rFonts w:ascii="Times New Roman Regular" w:eastAsia="宋体" w:hAnsi="Times New Roman Regular" w:cs="Times New Roman Regular"/>
                <w:color w:val="0D0D0D"/>
                <w:kern w:val="0"/>
                <w:sz w:val="24"/>
                <w:szCs w:val="24"/>
              </w:rPr>
              <w:t>188.8</w:t>
            </w:r>
          </w:p>
        </w:tc>
        <w:tc>
          <w:tcPr>
            <w:tcW w:w="1311" w:type="pct"/>
            <w:vAlign w:val="center"/>
          </w:tcPr>
          <w:p w:rsidR="00B373FD">
            <w:pPr>
              <w:widowControl/>
              <w:adjustRightInd w:val="0"/>
              <w:jc w:val="center"/>
              <w:rPr>
                <w:rFonts w:ascii="Times New Roman Regular" w:eastAsia="宋体" w:hAnsi="Times New Roman Regular" w:cs="Times New Roman Regular"/>
                <w:color w:val="0D0D0D"/>
                <w:kern w:val="0"/>
                <w:sz w:val="24"/>
                <w:szCs w:val="24"/>
              </w:rPr>
            </w:pPr>
            <w:r>
              <w:rPr>
                <w:rFonts w:ascii="Times New Roman Regular" w:eastAsia="宋体" w:hAnsi="Times New Roman Regular" w:cs="Times New Roman Regular"/>
                <w:color w:val="0D0D0D"/>
                <w:kern w:val="0"/>
                <w:sz w:val="24"/>
                <w:szCs w:val="24"/>
              </w:rPr>
              <w:t>5.5</w:t>
            </w:r>
          </w:p>
        </w:tc>
      </w:tr>
      <w:tr>
        <w:tblPrEx>
          <w:tblW w:w="4986" w:type="pct"/>
          <w:jc w:val="center"/>
          <w:tblLayout w:type="fixed"/>
          <w:tblLook w:val="04A0"/>
        </w:tblPrEx>
        <w:trPr>
          <w:trHeight w:hRule="exact" w:val="510"/>
          <w:jc w:val="center"/>
        </w:trPr>
        <w:tc>
          <w:tcPr>
            <w:tcW w:w="2367" w:type="pct"/>
            <w:vAlign w:val="center"/>
          </w:tcPr>
          <w:p w:rsidR="00B373FD">
            <w:pPr>
              <w:widowControl/>
              <w:adjustRightInd w:val="0"/>
              <w:jc w:val="center"/>
              <w:rPr>
                <w:rFonts w:ascii="Times New Roman Regular" w:eastAsia="宋体" w:hAnsi="Times New Roman Regular" w:cs="Times New Roman Regular"/>
                <w:color w:val="0D0D0D"/>
                <w:kern w:val="0"/>
                <w:sz w:val="24"/>
                <w:szCs w:val="24"/>
              </w:rPr>
            </w:pPr>
            <w:r>
              <w:rPr>
                <w:rFonts w:ascii="Times New Roman Regular" w:eastAsia="宋体" w:hAnsi="Times New Roman Regular" w:cs="Times New Roman Regular"/>
                <w:color w:val="0D0D0D"/>
                <w:kern w:val="0"/>
                <w:sz w:val="24"/>
                <w:szCs w:val="24"/>
              </w:rPr>
              <w:t>金属表面处理及热处理加工业</w:t>
            </w:r>
          </w:p>
        </w:tc>
        <w:tc>
          <w:tcPr>
            <w:tcW w:w="1320" w:type="pct"/>
            <w:vAlign w:val="center"/>
          </w:tcPr>
          <w:p w:rsidR="00B373FD">
            <w:pPr>
              <w:widowControl/>
              <w:adjustRightInd w:val="0"/>
              <w:jc w:val="center"/>
              <w:rPr>
                <w:rFonts w:ascii="Times New Roman Regular" w:eastAsia="宋体" w:hAnsi="Times New Roman Regular" w:cs="Times New Roman Regular"/>
                <w:color w:val="0D0D0D"/>
                <w:kern w:val="0"/>
                <w:sz w:val="24"/>
                <w:szCs w:val="24"/>
              </w:rPr>
            </w:pPr>
            <w:r>
              <w:rPr>
                <w:rFonts w:ascii="Times New Roman Regular" w:eastAsia="宋体" w:hAnsi="Times New Roman Regular" w:cs="Times New Roman Regular"/>
                <w:color w:val="0D0D0D"/>
                <w:kern w:val="0"/>
                <w:sz w:val="24"/>
                <w:szCs w:val="24"/>
              </w:rPr>
              <w:t>126.4</w:t>
            </w:r>
          </w:p>
        </w:tc>
        <w:tc>
          <w:tcPr>
            <w:tcW w:w="1311" w:type="pct"/>
            <w:vAlign w:val="center"/>
          </w:tcPr>
          <w:p w:rsidR="00B373FD">
            <w:pPr>
              <w:widowControl/>
              <w:adjustRightInd w:val="0"/>
              <w:jc w:val="center"/>
              <w:rPr>
                <w:rFonts w:ascii="Times New Roman Regular" w:eastAsia="宋体" w:hAnsi="Times New Roman Regular" w:cs="Times New Roman Regular"/>
                <w:color w:val="0D0D0D"/>
                <w:kern w:val="0"/>
                <w:sz w:val="24"/>
                <w:szCs w:val="24"/>
              </w:rPr>
            </w:pPr>
            <w:r>
              <w:rPr>
                <w:rFonts w:ascii="Times New Roman Regular" w:eastAsia="宋体" w:hAnsi="Times New Roman Regular" w:cs="Times New Roman Regular"/>
                <w:color w:val="0D0D0D"/>
                <w:kern w:val="0"/>
                <w:sz w:val="24"/>
                <w:szCs w:val="24"/>
              </w:rPr>
              <w:t>3.7</w:t>
            </w:r>
          </w:p>
        </w:tc>
      </w:tr>
    </w:tbl>
    <w:p w:rsidR="00B373FD">
      <w:pPr>
        <w:adjustRightInd w:val="0"/>
        <w:snapToGrid w:val="0"/>
        <w:ind w:firstLine="640" w:firstLineChars="200"/>
        <w:rPr>
          <w:rFonts w:ascii="Times New Roman Regular" w:hAnsi="Times New Roman Regular" w:cs="Times New Roman Regular"/>
        </w:rPr>
      </w:pPr>
      <w:r>
        <w:rPr>
          <w:rFonts w:ascii="Times New Roman Regular" w:hAnsi="Times New Roman Regular" w:cs="Times New Roman Regular"/>
        </w:rPr>
        <w:t>2020</w:t>
      </w:r>
      <w:r>
        <w:rPr>
          <w:rFonts w:ascii="Times New Roman Regular" w:hAnsi="Times New Roman Regular" w:cs="Times New Roman Regular"/>
        </w:rPr>
        <w:t>年，全市工业化学需氧量、氨氮、总氮、总磷、石油类的排放量分别为</w:t>
      </w:r>
      <w:r>
        <w:rPr>
          <w:rFonts w:ascii="Times New Roman Regular" w:hAnsi="Times New Roman Regular" w:cs="Times New Roman Regular"/>
        </w:rPr>
        <w:t>1639.2</w:t>
      </w:r>
      <w:r>
        <w:rPr>
          <w:rFonts w:ascii="Times New Roman Regular" w:hAnsi="Times New Roman Regular" w:cs="Times New Roman Regular"/>
        </w:rPr>
        <w:t>吨、</w:t>
      </w:r>
      <w:r>
        <w:rPr>
          <w:rFonts w:ascii="Times New Roman Regular" w:hAnsi="Times New Roman Regular" w:cs="Times New Roman Regular"/>
        </w:rPr>
        <w:t>145.8</w:t>
      </w:r>
      <w:r>
        <w:rPr>
          <w:rFonts w:ascii="Times New Roman Regular" w:hAnsi="Times New Roman Regular" w:cs="Times New Roman Regular"/>
        </w:rPr>
        <w:t>吨、</w:t>
      </w:r>
      <w:r>
        <w:rPr>
          <w:rFonts w:ascii="Times New Roman Regular" w:hAnsi="Times New Roman Regular" w:cs="Times New Roman Regular"/>
        </w:rPr>
        <w:t>318.8</w:t>
      </w:r>
      <w:r>
        <w:rPr>
          <w:rFonts w:ascii="Times New Roman Regular" w:hAnsi="Times New Roman Regular" w:cs="Times New Roman Regular"/>
        </w:rPr>
        <w:t>吨、</w:t>
      </w:r>
      <w:r>
        <w:rPr>
          <w:rFonts w:ascii="Times New Roman Regular" w:hAnsi="Times New Roman Regular" w:cs="Times New Roman Regular"/>
        </w:rPr>
        <w:t>13.5</w:t>
      </w:r>
      <w:r>
        <w:rPr>
          <w:rFonts w:ascii="Times New Roman Regular" w:hAnsi="Times New Roman Regular" w:cs="Times New Roman Regular"/>
        </w:rPr>
        <w:t>吨、</w:t>
      </w:r>
      <w:r>
        <w:rPr>
          <w:rFonts w:ascii="Times New Roman Regular" w:hAnsi="Times New Roman Regular" w:cs="Times New Roman Regular"/>
        </w:rPr>
        <w:t>0.</w:t>
      </w:r>
      <w:r w:rsidR="001B1AD3">
        <w:rPr>
          <w:rFonts w:ascii="Times New Roman Regular" w:hAnsi="Times New Roman Regular" w:cs="Times New Roman Regular"/>
        </w:rPr>
        <w:t>8</w:t>
      </w:r>
      <w:r>
        <w:rPr>
          <w:rFonts w:ascii="Times New Roman Regular" w:hAnsi="Times New Roman Regular" w:cs="Times New Roman Regular"/>
        </w:rPr>
        <w:t xml:space="preserve"> </w:t>
      </w:r>
      <w:r>
        <w:rPr>
          <w:rFonts w:ascii="Times New Roman Regular" w:hAnsi="Times New Roman Regular" w:cs="Times New Roman Regular"/>
        </w:rPr>
        <w:t>吨，与</w:t>
      </w:r>
      <w:r>
        <w:rPr>
          <w:rFonts w:ascii="Times New Roman Regular" w:hAnsi="Times New Roman Regular" w:cs="Times New Roman Regular"/>
        </w:rPr>
        <w:t xml:space="preserve"> 2019</w:t>
      </w:r>
      <w:r>
        <w:rPr>
          <w:rFonts w:ascii="Times New Roman Regular" w:hAnsi="Times New Roman Regular" w:cs="Times New Roman Regular"/>
        </w:rPr>
        <w:t>年相比，五项指标分别下降了</w:t>
      </w:r>
      <w:r>
        <w:rPr>
          <w:rFonts w:ascii="Times New Roman Regular" w:hAnsi="Times New Roman Regular" w:cs="Times New Roman Regular"/>
        </w:rPr>
        <w:t>643.8</w:t>
      </w:r>
      <w:r>
        <w:rPr>
          <w:rFonts w:ascii="Times New Roman Regular" w:hAnsi="Times New Roman Regular" w:cs="Times New Roman Regular"/>
        </w:rPr>
        <w:t>吨、</w:t>
      </w:r>
      <w:r>
        <w:rPr>
          <w:rFonts w:ascii="Times New Roman Regular" w:hAnsi="Times New Roman Regular" w:cs="Times New Roman Regular"/>
        </w:rPr>
        <w:t xml:space="preserve">36.2 </w:t>
      </w:r>
      <w:r>
        <w:rPr>
          <w:rFonts w:ascii="Times New Roman Regular" w:hAnsi="Times New Roman Regular" w:cs="Times New Roman Regular"/>
        </w:rPr>
        <w:t>吨、</w:t>
      </w:r>
      <w:r>
        <w:rPr>
          <w:rFonts w:ascii="Times New Roman Regular" w:hAnsi="Times New Roman Regular" w:cs="Times New Roman Regular"/>
        </w:rPr>
        <w:t>238.7</w:t>
      </w:r>
      <w:r>
        <w:rPr>
          <w:rFonts w:ascii="Times New Roman Regular" w:hAnsi="Times New Roman Regular" w:cs="Times New Roman Regular"/>
        </w:rPr>
        <w:t>吨、</w:t>
      </w:r>
      <w:r>
        <w:rPr>
          <w:rFonts w:ascii="Times New Roman Regular" w:hAnsi="Times New Roman Regular" w:cs="Times New Roman Regular"/>
        </w:rPr>
        <w:t>4.2</w:t>
      </w:r>
      <w:r>
        <w:rPr>
          <w:rFonts w:ascii="Times New Roman Regular" w:hAnsi="Times New Roman Regular" w:cs="Times New Roman Regular"/>
        </w:rPr>
        <w:t>吨和</w:t>
      </w:r>
      <w:r>
        <w:rPr>
          <w:rFonts w:ascii="Times New Roman Regular" w:hAnsi="Times New Roman Regular" w:cs="Times New Roman Regular"/>
        </w:rPr>
        <w:t>2.3</w:t>
      </w:r>
      <w:r>
        <w:rPr>
          <w:rFonts w:ascii="Times New Roman Regular" w:hAnsi="Times New Roman Regular" w:cs="Times New Roman Regular"/>
        </w:rPr>
        <w:t>吨。</w:t>
      </w:r>
    </w:p>
    <w:p w:rsidR="00B373FD">
      <w:pPr>
        <w:adjustRightInd w:val="0"/>
        <w:snapToGrid w:val="0"/>
        <w:ind w:firstLine="640" w:firstLineChars="200"/>
        <w:rPr>
          <w:rFonts w:ascii="Times New Roman Regular" w:hAnsi="Times New Roman Regular" w:cs="Times New Roman Regular"/>
        </w:rPr>
      </w:pPr>
      <w:r>
        <w:rPr>
          <w:rFonts w:ascii="Times New Roman Regular" w:hAnsi="Times New Roman Regular" w:cs="Times New Roman Regular"/>
        </w:rPr>
        <w:t>机械纸及纸板制造业是全市工业化学需氧量</w:t>
      </w:r>
      <w:r>
        <w:rPr>
          <w:rFonts w:ascii="Times New Roman Regular" w:hAnsi="Times New Roman Regular" w:cs="Times New Roman Regular" w:hint="eastAsia"/>
        </w:rPr>
        <w:t>、氨氮、总氮、总磷</w:t>
      </w:r>
      <w:r>
        <w:rPr>
          <w:rFonts w:ascii="Times New Roman Regular" w:hAnsi="Times New Roman Regular" w:cs="Times New Roman Regular"/>
        </w:rPr>
        <w:t>排放量最大</w:t>
      </w:r>
      <w:r>
        <w:rPr>
          <w:rFonts w:ascii="Times New Roman Regular" w:hAnsi="Times New Roman Regular" w:cs="Times New Roman Regular" w:hint="eastAsia"/>
        </w:rPr>
        <w:t>的</w:t>
      </w:r>
      <w:r>
        <w:rPr>
          <w:rFonts w:ascii="Times New Roman Regular" w:hAnsi="Times New Roman Regular" w:cs="Times New Roman Regular"/>
        </w:rPr>
        <w:t>行业</w:t>
      </w:r>
      <w:r>
        <w:rPr>
          <w:rFonts w:ascii="Times New Roman Regular" w:hAnsi="Times New Roman Regular" w:cs="Times New Roman Regular" w:hint="eastAsia"/>
        </w:rPr>
        <w:t>，涤纶纤维制造业是全市工业石油类排放量最大的行业。各指标行业排名如图</w:t>
      </w:r>
      <w:r>
        <w:rPr>
          <w:rFonts w:ascii="Times New Roman Regular" w:hAnsi="Times New Roman Regular" w:cs="Times New Roman Regular" w:hint="eastAsia"/>
        </w:rPr>
        <w:t>2-7</w:t>
      </w:r>
      <w:r>
        <w:rPr>
          <w:rFonts w:ascii="Times New Roman Regular" w:hAnsi="Times New Roman Regular" w:cs="Times New Roman Regular" w:hint="eastAsia"/>
        </w:rPr>
        <w:t>—</w:t>
      </w:r>
      <w:r>
        <w:rPr>
          <w:rFonts w:ascii="Times New Roman Regular" w:hAnsi="Times New Roman Regular" w:cs="Times New Roman Regular" w:hint="eastAsia"/>
        </w:rPr>
        <w:t>2-11</w:t>
      </w:r>
      <w:r>
        <w:rPr>
          <w:rFonts w:ascii="Times New Roman Regular" w:hAnsi="Times New Roman Regular" w:cs="Times New Roman Regular" w:hint="eastAsia"/>
        </w:rPr>
        <w:t>。</w:t>
      </w:r>
    </w:p>
    <w:p w:rsidR="00B373FD">
      <w:pPr>
        <w:adjustRightInd w:val="0"/>
        <w:snapToGrid w:val="0"/>
        <w:spacing w:line="240" w:lineRule="auto"/>
        <w:jc w:val="center"/>
        <w:rPr>
          <w:rFonts w:ascii="Times New Roman Regular" w:eastAsia="黑体" w:hAnsi="Times New Roman Regular" w:cs="Times New Roman Regular"/>
          <w:sz w:val="28"/>
          <w:szCs w:val="24"/>
        </w:rPr>
      </w:pPr>
      <w:r>
        <w:rPr>
          <w:rFonts w:hint="eastAsia"/>
          <w:noProof/>
        </w:rPr>
        <w:drawing>
          <wp:anchor distT="0" distB="0" distL="114935" distR="114935" simplePos="0" relativeHeight="251666432" behindDoc="0" locked="0" layoutInCell="1" allowOverlap="1">
            <wp:simplePos x="0" y="0"/>
            <wp:positionH relativeFrom="column">
              <wp:posOffset>484505</wp:posOffset>
            </wp:positionH>
            <wp:positionV relativeFrom="paragraph">
              <wp:posOffset>11430</wp:posOffset>
            </wp:positionV>
            <wp:extent cx="4380230" cy="2879725"/>
            <wp:effectExtent l="0" t="0" r="8890" b="635"/>
            <wp:wrapTopAndBottom/>
            <wp:docPr id="45" name="图片 45" descr="化学需氧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化学需氧量"/>
                    <pic:cNvPicPr>
                      <a:picLocks noChangeAspect="1"/>
                    </pic:cNvPicPr>
                  </pic:nvPicPr>
                  <pic:blipFill>
                    <a:blip xmlns:r="http://schemas.openxmlformats.org/officeDocument/2006/relationships" r:embed="rId28"/>
                    <a:stretch>
                      <a:fillRect/>
                    </a:stretch>
                  </pic:blipFill>
                  <pic:spPr>
                    <a:xfrm>
                      <a:off x="0" y="0"/>
                      <a:ext cx="4380230" cy="2879725"/>
                    </a:xfrm>
                    <a:prstGeom prst="rect">
                      <a:avLst/>
                    </a:prstGeom>
                  </pic:spPr>
                </pic:pic>
              </a:graphicData>
            </a:graphic>
          </wp:anchor>
        </w:drawing>
      </w:r>
      <w:r>
        <w:rPr>
          <w:rFonts w:ascii="Times New Roman Regular" w:eastAsia="黑体" w:hAnsi="Times New Roman Regular" w:cs="Times New Roman Regular"/>
          <w:sz w:val="28"/>
          <w:szCs w:val="24"/>
        </w:rPr>
        <w:t>图</w:t>
      </w:r>
      <w:r>
        <w:rPr>
          <w:rFonts w:ascii="Times New Roman Regular" w:eastAsia="黑体" w:hAnsi="Times New Roman Regular" w:cs="Times New Roman Regular"/>
          <w:sz w:val="28"/>
          <w:szCs w:val="24"/>
        </w:rPr>
        <w:t>2-</w:t>
      </w:r>
      <w:r>
        <w:rPr>
          <w:rFonts w:ascii="Times New Roman Regular" w:eastAsia="黑体" w:hAnsi="Times New Roman Regular" w:cs="Times New Roman Regular" w:hint="eastAsia"/>
          <w:sz w:val="28"/>
          <w:szCs w:val="24"/>
        </w:rPr>
        <w:t>7</w:t>
      </w:r>
      <w:r>
        <w:rPr>
          <w:rFonts w:ascii="Times New Roman Regular" w:eastAsia="黑体" w:hAnsi="Times New Roman Regular" w:cs="Times New Roman Regular"/>
          <w:sz w:val="28"/>
          <w:szCs w:val="24"/>
        </w:rPr>
        <w:t xml:space="preserve"> </w:t>
      </w:r>
      <w:r>
        <w:rPr>
          <w:rFonts w:ascii="Times New Roman Regular" w:eastAsia="黑体" w:hAnsi="Times New Roman Regular" w:cs="Times New Roman Regular"/>
          <w:sz w:val="28"/>
          <w:szCs w:val="24"/>
        </w:rPr>
        <w:t>太仓市工业</w:t>
      </w:r>
      <w:r>
        <w:rPr>
          <w:rFonts w:ascii="Times New Roman Regular" w:eastAsia="黑体" w:hAnsi="Times New Roman Regular" w:cs="Times New Roman Regular" w:hint="eastAsia"/>
          <w:sz w:val="28"/>
          <w:szCs w:val="24"/>
        </w:rPr>
        <w:t>化学需氧量排放量行业排名</w:t>
      </w:r>
    </w:p>
    <w:p w:rsidR="00B373FD">
      <w:pPr>
        <w:adjustRightInd w:val="0"/>
        <w:snapToGrid w:val="0"/>
        <w:spacing w:line="240" w:lineRule="auto"/>
        <w:jc w:val="center"/>
        <w:rPr>
          <w:rFonts w:ascii="Times New Roman Regular" w:eastAsia="黑体" w:hAnsi="Times New Roman Regular" w:cs="Times New Roman Regular"/>
          <w:sz w:val="28"/>
          <w:szCs w:val="24"/>
        </w:rPr>
      </w:pPr>
      <w:r>
        <w:rPr>
          <w:rFonts w:ascii="Times New Roman Regular" w:hAnsi="Times New Roman Regular" w:cs="Times New Roman Regular" w:hint="eastAsia"/>
          <w:noProof/>
        </w:rPr>
        <w:drawing>
          <wp:anchor distT="0" distB="0" distL="114935" distR="114935" simplePos="0" relativeHeight="251667456" behindDoc="0" locked="0" layoutInCell="1" allowOverlap="1">
            <wp:simplePos x="0" y="0"/>
            <wp:positionH relativeFrom="column">
              <wp:posOffset>482600</wp:posOffset>
            </wp:positionH>
            <wp:positionV relativeFrom="paragraph">
              <wp:posOffset>55245</wp:posOffset>
            </wp:positionV>
            <wp:extent cx="4380230" cy="2879725"/>
            <wp:effectExtent l="0" t="0" r="8890" b="635"/>
            <wp:wrapTopAndBottom/>
            <wp:docPr id="46" name="图片 46" descr="氨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氨氮"/>
                    <pic:cNvPicPr>
                      <a:picLocks noChangeAspect="1"/>
                    </pic:cNvPicPr>
                  </pic:nvPicPr>
                  <pic:blipFill>
                    <a:blip xmlns:r="http://schemas.openxmlformats.org/officeDocument/2006/relationships" r:embed="rId29"/>
                    <a:stretch>
                      <a:fillRect/>
                    </a:stretch>
                  </pic:blipFill>
                  <pic:spPr>
                    <a:xfrm>
                      <a:off x="0" y="0"/>
                      <a:ext cx="4380230" cy="2879725"/>
                    </a:xfrm>
                    <a:prstGeom prst="rect">
                      <a:avLst/>
                    </a:prstGeom>
                  </pic:spPr>
                </pic:pic>
              </a:graphicData>
            </a:graphic>
          </wp:anchor>
        </w:drawing>
      </w:r>
      <w:r>
        <w:rPr>
          <w:rFonts w:ascii="Times New Roman Regular" w:eastAsia="黑体" w:hAnsi="Times New Roman Regular" w:cs="Times New Roman Regular"/>
          <w:sz w:val="28"/>
          <w:szCs w:val="24"/>
        </w:rPr>
        <w:t>图</w:t>
      </w:r>
      <w:r>
        <w:rPr>
          <w:rFonts w:ascii="Times New Roman Regular" w:eastAsia="黑体" w:hAnsi="Times New Roman Regular" w:cs="Times New Roman Regular"/>
          <w:sz w:val="28"/>
          <w:szCs w:val="24"/>
        </w:rPr>
        <w:t>2-</w:t>
      </w:r>
      <w:r>
        <w:rPr>
          <w:rFonts w:ascii="Times New Roman Regular" w:eastAsia="黑体" w:hAnsi="Times New Roman Regular" w:cs="Times New Roman Regular" w:hint="eastAsia"/>
          <w:sz w:val="28"/>
          <w:szCs w:val="24"/>
        </w:rPr>
        <w:t>8</w:t>
      </w:r>
      <w:r>
        <w:rPr>
          <w:rFonts w:ascii="Times New Roman Regular" w:eastAsia="黑体" w:hAnsi="Times New Roman Regular" w:cs="Times New Roman Regular"/>
          <w:sz w:val="28"/>
          <w:szCs w:val="24"/>
        </w:rPr>
        <w:t xml:space="preserve"> </w:t>
      </w:r>
      <w:r>
        <w:rPr>
          <w:rFonts w:ascii="Times New Roman Regular" w:eastAsia="黑体" w:hAnsi="Times New Roman Regular" w:cs="Times New Roman Regular"/>
          <w:sz w:val="28"/>
          <w:szCs w:val="24"/>
        </w:rPr>
        <w:t>太仓市工业</w:t>
      </w:r>
      <w:r>
        <w:rPr>
          <w:rFonts w:ascii="Times New Roman Regular" w:eastAsia="黑体" w:hAnsi="Times New Roman Regular" w:cs="Times New Roman Regular" w:hint="eastAsia"/>
          <w:sz w:val="28"/>
          <w:szCs w:val="24"/>
        </w:rPr>
        <w:t>氨氮排放量行业排名</w:t>
      </w:r>
    </w:p>
    <w:p w:rsidR="00B373FD">
      <w:pPr>
        <w:adjustRightInd w:val="0"/>
        <w:snapToGrid w:val="0"/>
        <w:spacing w:line="240" w:lineRule="auto"/>
        <w:jc w:val="center"/>
        <w:rPr>
          <w:rFonts w:ascii="Times New Roman Regular" w:eastAsia="黑体" w:hAnsi="Times New Roman Regular" w:cs="Times New Roman Regular"/>
          <w:sz w:val="28"/>
          <w:szCs w:val="24"/>
        </w:rPr>
      </w:pPr>
      <w:r>
        <w:rPr>
          <w:rFonts w:ascii="Times New Roman Regular" w:eastAsia="黑体" w:hAnsi="Times New Roman Regular" w:cs="Times New Roman Regular" w:hint="eastAsia"/>
          <w:noProof/>
          <w:sz w:val="28"/>
          <w:szCs w:val="24"/>
        </w:rPr>
        <w:drawing>
          <wp:inline distT="0" distB="0" distL="114300" distR="114300">
            <wp:extent cx="4380230" cy="2879725"/>
            <wp:effectExtent l="0" t="0" r="8890" b="635"/>
            <wp:docPr id="47" name="图片 47" descr="总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总氮"/>
                    <pic:cNvPicPr>
                      <a:picLocks noChangeAspect="1"/>
                    </pic:cNvPicPr>
                  </pic:nvPicPr>
                  <pic:blipFill>
                    <a:blip xmlns:r="http://schemas.openxmlformats.org/officeDocument/2006/relationships" r:embed="rId30"/>
                    <a:stretch>
                      <a:fillRect/>
                    </a:stretch>
                  </pic:blipFill>
                  <pic:spPr>
                    <a:xfrm>
                      <a:off x="0" y="0"/>
                      <a:ext cx="4380230" cy="2879725"/>
                    </a:xfrm>
                    <a:prstGeom prst="rect">
                      <a:avLst/>
                    </a:prstGeom>
                  </pic:spPr>
                </pic:pic>
              </a:graphicData>
            </a:graphic>
          </wp:inline>
        </w:drawing>
      </w:r>
    </w:p>
    <w:p w:rsidR="00B373FD">
      <w:pPr>
        <w:adjustRightInd w:val="0"/>
        <w:snapToGrid w:val="0"/>
        <w:spacing w:line="240" w:lineRule="auto"/>
        <w:jc w:val="center"/>
        <w:rPr>
          <w:rFonts w:ascii="Times New Roman Regular" w:eastAsia="黑体" w:hAnsi="Times New Roman Regular" w:cs="Times New Roman Regular"/>
          <w:sz w:val="28"/>
          <w:szCs w:val="24"/>
        </w:rPr>
      </w:pPr>
      <w:r>
        <w:rPr>
          <w:rFonts w:ascii="Times New Roman Regular" w:eastAsia="黑体" w:hAnsi="Times New Roman Regular" w:cs="Times New Roman Regular"/>
          <w:sz w:val="28"/>
          <w:szCs w:val="24"/>
        </w:rPr>
        <w:t>图</w:t>
      </w:r>
      <w:r>
        <w:rPr>
          <w:rFonts w:ascii="Times New Roman Regular" w:eastAsia="黑体" w:hAnsi="Times New Roman Regular" w:cs="Times New Roman Regular"/>
          <w:sz w:val="28"/>
          <w:szCs w:val="24"/>
        </w:rPr>
        <w:t>2-</w:t>
      </w:r>
      <w:r>
        <w:rPr>
          <w:rFonts w:ascii="Times New Roman Regular" w:eastAsia="黑体" w:hAnsi="Times New Roman Regular" w:cs="Times New Roman Regular" w:hint="eastAsia"/>
          <w:sz w:val="28"/>
          <w:szCs w:val="24"/>
        </w:rPr>
        <w:t>9</w:t>
      </w:r>
      <w:r>
        <w:rPr>
          <w:rFonts w:ascii="Times New Roman Regular" w:eastAsia="黑体" w:hAnsi="Times New Roman Regular" w:cs="Times New Roman Regular"/>
          <w:sz w:val="28"/>
          <w:szCs w:val="24"/>
        </w:rPr>
        <w:t xml:space="preserve"> </w:t>
      </w:r>
      <w:r>
        <w:rPr>
          <w:rFonts w:ascii="Times New Roman Regular" w:eastAsia="黑体" w:hAnsi="Times New Roman Regular" w:cs="Times New Roman Regular"/>
          <w:sz w:val="28"/>
          <w:szCs w:val="24"/>
        </w:rPr>
        <w:t>太仓市工业</w:t>
      </w:r>
      <w:r>
        <w:rPr>
          <w:rFonts w:ascii="Times New Roman Regular" w:eastAsia="黑体" w:hAnsi="Times New Roman Regular" w:cs="Times New Roman Regular" w:hint="eastAsia"/>
          <w:sz w:val="28"/>
          <w:szCs w:val="24"/>
        </w:rPr>
        <w:t>总氮排放量行业排名</w:t>
      </w:r>
    </w:p>
    <w:p w:rsidR="00B373FD">
      <w:pPr>
        <w:adjustRightInd w:val="0"/>
        <w:snapToGrid w:val="0"/>
        <w:spacing w:line="240" w:lineRule="auto"/>
        <w:jc w:val="center"/>
        <w:rPr>
          <w:rFonts w:ascii="Times New Roman Regular" w:eastAsia="黑体" w:hAnsi="Times New Roman Regular" w:cs="Times New Roman Regular"/>
          <w:sz w:val="28"/>
          <w:szCs w:val="24"/>
        </w:rPr>
      </w:pPr>
      <w:r>
        <w:rPr>
          <w:rFonts w:ascii="Times New Roman Regular" w:hAnsi="Times New Roman Regular" w:cs="Times New Roman Regular" w:hint="eastAsia"/>
          <w:noProof/>
        </w:rPr>
        <w:drawing>
          <wp:anchor distT="0" distB="0" distL="114935" distR="114935" simplePos="0" relativeHeight="251668480" behindDoc="0" locked="0" layoutInCell="1" allowOverlap="1">
            <wp:simplePos x="0" y="0"/>
            <wp:positionH relativeFrom="column">
              <wp:posOffset>448945</wp:posOffset>
            </wp:positionH>
            <wp:positionV relativeFrom="paragraph">
              <wp:posOffset>30480</wp:posOffset>
            </wp:positionV>
            <wp:extent cx="4380230" cy="2879725"/>
            <wp:effectExtent l="0" t="0" r="8890" b="635"/>
            <wp:wrapTopAndBottom/>
            <wp:docPr id="48" name="图片 48" descr="总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总磷"/>
                    <pic:cNvPicPr>
                      <a:picLocks noChangeAspect="1"/>
                    </pic:cNvPicPr>
                  </pic:nvPicPr>
                  <pic:blipFill>
                    <a:blip xmlns:r="http://schemas.openxmlformats.org/officeDocument/2006/relationships" r:embed="rId31"/>
                    <a:stretch>
                      <a:fillRect/>
                    </a:stretch>
                  </pic:blipFill>
                  <pic:spPr>
                    <a:xfrm>
                      <a:off x="0" y="0"/>
                      <a:ext cx="4380230" cy="2879725"/>
                    </a:xfrm>
                    <a:prstGeom prst="rect">
                      <a:avLst/>
                    </a:prstGeom>
                  </pic:spPr>
                </pic:pic>
              </a:graphicData>
            </a:graphic>
          </wp:anchor>
        </w:drawing>
      </w:r>
      <w:r>
        <w:rPr>
          <w:rFonts w:ascii="Times New Roman Regular" w:eastAsia="黑体" w:hAnsi="Times New Roman Regular" w:cs="Times New Roman Regular"/>
          <w:sz w:val="28"/>
          <w:szCs w:val="24"/>
        </w:rPr>
        <w:t>图</w:t>
      </w:r>
      <w:r>
        <w:rPr>
          <w:rFonts w:ascii="Times New Roman Regular" w:eastAsia="黑体" w:hAnsi="Times New Roman Regular" w:cs="Times New Roman Regular"/>
          <w:sz w:val="28"/>
          <w:szCs w:val="24"/>
        </w:rPr>
        <w:t>2-</w:t>
      </w:r>
      <w:r>
        <w:rPr>
          <w:rFonts w:ascii="Times New Roman Regular" w:eastAsia="黑体" w:hAnsi="Times New Roman Regular" w:cs="Times New Roman Regular" w:hint="eastAsia"/>
          <w:sz w:val="28"/>
          <w:szCs w:val="24"/>
        </w:rPr>
        <w:t>10</w:t>
      </w:r>
      <w:r>
        <w:rPr>
          <w:rFonts w:ascii="Times New Roman Regular" w:eastAsia="黑体" w:hAnsi="Times New Roman Regular" w:cs="Times New Roman Regular"/>
          <w:sz w:val="28"/>
          <w:szCs w:val="24"/>
        </w:rPr>
        <w:t xml:space="preserve"> </w:t>
      </w:r>
      <w:r>
        <w:rPr>
          <w:rFonts w:ascii="Times New Roman Regular" w:eastAsia="黑体" w:hAnsi="Times New Roman Regular" w:cs="Times New Roman Regular"/>
          <w:sz w:val="28"/>
          <w:szCs w:val="24"/>
        </w:rPr>
        <w:t>太仓市工业</w:t>
      </w:r>
      <w:r>
        <w:rPr>
          <w:rFonts w:ascii="Times New Roman Regular" w:eastAsia="黑体" w:hAnsi="Times New Roman Regular" w:cs="Times New Roman Regular" w:hint="eastAsia"/>
          <w:sz w:val="28"/>
          <w:szCs w:val="24"/>
        </w:rPr>
        <w:t>总磷排放量行业排名</w:t>
      </w:r>
    </w:p>
    <w:p w:rsidR="00B373FD">
      <w:pPr>
        <w:adjustRightInd w:val="0"/>
        <w:snapToGrid w:val="0"/>
        <w:ind w:firstLine="640" w:firstLineChars="200"/>
        <w:rPr>
          <w:rFonts w:ascii="Times New Roman Regular" w:hAnsi="Times New Roman Regular" w:cs="Times New Roman Regular"/>
        </w:rPr>
      </w:pPr>
    </w:p>
    <w:p w:rsidR="00B373FD">
      <w:pPr>
        <w:adjustRightInd w:val="0"/>
        <w:snapToGrid w:val="0"/>
        <w:ind w:firstLine="640" w:firstLineChars="200"/>
        <w:rPr>
          <w:rFonts w:ascii="Times New Roman Regular" w:hAnsi="Times New Roman Regular" w:cs="Times New Roman Regular"/>
        </w:rPr>
      </w:pPr>
    </w:p>
    <w:p w:rsidR="00B373FD">
      <w:pPr>
        <w:adjustRightInd w:val="0"/>
        <w:snapToGrid w:val="0"/>
        <w:ind w:firstLine="640" w:firstLineChars="200"/>
        <w:rPr>
          <w:rFonts w:ascii="Times New Roman Regular" w:hAnsi="Times New Roman Regular" w:cs="Times New Roman Regular"/>
        </w:rPr>
      </w:pPr>
    </w:p>
    <w:p w:rsidR="00B373FD">
      <w:pPr>
        <w:adjustRightInd w:val="0"/>
        <w:snapToGrid w:val="0"/>
        <w:ind w:firstLine="640" w:firstLineChars="200"/>
        <w:rPr>
          <w:rFonts w:ascii="Times New Roman Regular" w:hAnsi="Times New Roman Regular" w:cs="Times New Roman Regular"/>
        </w:rPr>
      </w:pPr>
    </w:p>
    <w:p w:rsidR="00B373FD">
      <w:pPr>
        <w:adjustRightInd w:val="0"/>
        <w:snapToGrid w:val="0"/>
        <w:ind w:firstLine="640" w:firstLineChars="200"/>
        <w:rPr>
          <w:rFonts w:ascii="Times New Roman Regular" w:hAnsi="Times New Roman Regular" w:cs="Times New Roman Regular"/>
        </w:rPr>
      </w:pPr>
    </w:p>
    <w:p w:rsidR="00B373FD">
      <w:pPr>
        <w:adjustRightInd w:val="0"/>
        <w:snapToGrid w:val="0"/>
        <w:spacing w:line="240" w:lineRule="auto"/>
        <w:jc w:val="center"/>
        <w:rPr>
          <w:rFonts w:ascii="Times New Roman Regular" w:eastAsia="黑体" w:hAnsi="Times New Roman Regular" w:cs="Times New Roman Regular"/>
          <w:sz w:val="28"/>
          <w:szCs w:val="24"/>
        </w:rPr>
      </w:pPr>
    </w:p>
    <w:p w:rsidR="00B373FD">
      <w:pPr>
        <w:adjustRightInd w:val="0"/>
        <w:snapToGrid w:val="0"/>
        <w:spacing w:line="240" w:lineRule="auto"/>
        <w:jc w:val="center"/>
        <w:rPr>
          <w:rFonts w:ascii="Times New Roman Regular" w:eastAsia="黑体" w:hAnsi="Times New Roman Regular" w:cs="Times New Roman Regular"/>
          <w:sz w:val="28"/>
          <w:szCs w:val="24"/>
        </w:rPr>
      </w:pPr>
    </w:p>
    <w:p w:rsidR="00B373FD">
      <w:pPr>
        <w:adjustRightInd w:val="0"/>
        <w:snapToGrid w:val="0"/>
        <w:spacing w:line="240" w:lineRule="auto"/>
        <w:jc w:val="center"/>
        <w:rPr>
          <w:rFonts w:ascii="Times New Roman Regular" w:eastAsia="黑体" w:hAnsi="Times New Roman Regular" w:cs="Times New Roman Regular"/>
          <w:sz w:val="28"/>
          <w:szCs w:val="24"/>
        </w:rPr>
      </w:pPr>
    </w:p>
    <w:p w:rsidR="00B373FD">
      <w:pPr>
        <w:adjustRightInd w:val="0"/>
        <w:snapToGrid w:val="0"/>
        <w:spacing w:line="240" w:lineRule="auto"/>
        <w:jc w:val="center"/>
        <w:rPr>
          <w:rFonts w:ascii="Times New Roman Regular" w:eastAsia="黑体" w:hAnsi="Times New Roman Regular" w:cs="Times New Roman Regular"/>
          <w:sz w:val="28"/>
          <w:szCs w:val="24"/>
        </w:rPr>
      </w:pPr>
      <w:r>
        <w:rPr>
          <w:rFonts w:ascii="Times New Roman Regular" w:hAnsi="Times New Roman Regular" w:cs="Times New Roman Regular" w:hint="eastAsia"/>
          <w:noProof/>
        </w:rPr>
        <w:drawing>
          <wp:anchor distT="0" distB="0" distL="114935" distR="114935" simplePos="0" relativeHeight="251669504" behindDoc="0" locked="0" layoutInCell="1" allowOverlap="1">
            <wp:simplePos x="0" y="0"/>
            <wp:positionH relativeFrom="column">
              <wp:posOffset>515620</wp:posOffset>
            </wp:positionH>
            <wp:positionV relativeFrom="paragraph">
              <wp:posOffset>-24765</wp:posOffset>
            </wp:positionV>
            <wp:extent cx="4380230" cy="2879725"/>
            <wp:effectExtent l="0" t="0" r="8890" b="635"/>
            <wp:wrapTopAndBottom/>
            <wp:docPr id="49" name="图片 49" descr="石油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石油类"/>
                    <pic:cNvPicPr>
                      <a:picLocks noChangeAspect="1"/>
                    </pic:cNvPicPr>
                  </pic:nvPicPr>
                  <pic:blipFill>
                    <a:blip xmlns:r="http://schemas.openxmlformats.org/officeDocument/2006/relationships" r:embed="rId32"/>
                    <a:stretch>
                      <a:fillRect/>
                    </a:stretch>
                  </pic:blipFill>
                  <pic:spPr>
                    <a:xfrm>
                      <a:off x="0" y="0"/>
                      <a:ext cx="4380230" cy="2879725"/>
                    </a:xfrm>
                    <a:prstGeom prst="rect">
                      <a:avLst/>
                    </a:prstGeom>
                  </pic:spPr>
                </pic:pic>
              </a:graphicData>
            </a:graphic>
          </wp:anchor>
        </w:drawing>
      </w:r>
      <w:r>
        <w:rPr>
          <w:rFonts w:ascii="Times New Roman Regular" w:eastAsia="黑体" w:hAnsi="Times New Roman Regular" w:cs="Times New Roman Regular"/>
          <w:sz w:val="28"/>
          <w:szCs w:val="24"/>
        </w:rPr>
        <w:t>图</w:t>
      </w:r>
      <w:r>
        <w:rPr>
          <w:rFonts w:ascii="Times New Roman Regular" w:eastAsia="黑体" w:hAnsi="Times New Roman Regular" w:cs="Times New Roman Regular"/>
          <w:sz w:val="28"/>
          <w:szCs w:val="24"/>
        </w:rPr>
        <w:t>2-</w:t>
      </w:r>
      <w:r>
        <w:rPr>
          <w:rFonts w:ascii="Times New Roman Regular" w:eastAsia="黑体" w:hAnsi="Times New Roman Regular" w:cs="Times New Roman Regular" w:hint="eastAsia"/>
          <w:sz w:val="28"/>
          <w:szCs w:val="24"/>
        </w:rPr>
        <w:t>11</w:t>
      </w:r>
      <w:r>
        <w:rPr>
          <w:rFonts w:ascii="Times New Roman Regular" w:eastAsia="黑体" w:hAnsi="Times New Roman Regular" w:cs="Times New Roman Regular"/>
          <w:sz w:val="28"/>
          <w:szCs w:val="24"/>
        </w:rPr>
        <w:t xml:space="preserve"> </w:t>
      </w:r>
      <w:r>
        <w:rPr>
          <w:rFonts w:ascii="Times New Roman Regular" w:eastAsia="黑体" w:hAnsi="Times New Roman Regular" w:cs="Times New Roman Regular"/>
          <w:sz w:val="28"/>
          <w:szCs w:val="24"/>
        </w:rPr>
        <w:t>太仓市工业</w:t>
      </w:r>
      <w:r>
        <w:rPr>
          <w:rFonts w:ascii="Times New Roman Regular" w:eastAsia="黑体" w:hAnsi="Times New Roman Regular" w:cs="Times New Roman Regular" w:hint="eastAsia"/>
          <w:sz w:val="28"/>
          <w:szCs w:val="24"/>
        </w:rPr>
        <w:t>石油类排放量行业排名</w:t>
      </w:r>
    </w:p>
    <w:p w:rsidR="00B373FD">
      <w:pPr>
        <w:adjustRightInd w:val="0"/>
        <w:snapToGrid w:val="0"/>
        <w:jc w:val="center"/>
        <w:rPr>
          <w:rFonts w:ascii="Times New Roman Regular" w:eastAsia="黑体" w:hAnsi="Times New Roman Regular" w:cs="Times New Roman Regular"/>
          <w:sz w:val="28"/>
          <w:szCs w:val="24"/>
        </w:rPr>
      </w:pPr>
      <w:r>
        <w:rPr>
          <w:rFonts w:ascii="Times New Roman Regular" w:hAnsi="Times New Roman Regular" w:cs="Times New Roman Regular"/>
          <w:noProof/>
        </w:rPr>
        <w:drawing>
          <wp:anchor distT="0" distB="0" distL="114935" distR="114935" simplePos="0" relativeHeight="251662336" behindDoc="0" locked="0" layoutInCell="1" allowOverlap="1">
            <wp:simplePos x="0" y="0"/>
            <wp:positionH relativeFrom="column">
              <wp:posOffset>310515</wp:posOffset>
            </wp:positionH>
            <wp:positionV relativeFrom="paragraph">
              <wp:posOffset>109855</wp:posOffset>
            </wp:positionV>
            <wp:extent cx="4801870" cy="2857500"/>
            <wp:effectExtent l="5080" t="4445" r="8890" b="18415"/>
            <wp:wrapTopAndBottom/>
            <wp:docPr id="5"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Pr>
          <w:rFonts w:ascii="Times New Roman Regular" w:eastAsia="黑体" w:hAnsi="Times New Roman Regular" w:cs="Times New Roman Regular"/>
          <w:sz w:val="28"/>
          <w:szCs w:val="24"/>
        </w:rPr>
        <w:t>图</w:t>
      </w:r>
      <w:r>
        <w:rPr>
          <w:rFonts w:ascii="Times New Roman Regular" w:eastAsia="黑体" w:hAnsi="Times New Roman Regular" w:cs="Times New Roman Regular"/>
          <w:sz w:val="28"/>
          <w:szCs w:val="24"/>
        </w:rPr>
        <w:t>2-</w:t>
      </w:r>
      <w:r>
        <w:rPr>
          <w:rFonts w:ascii="Times New Roman Regular" w:eastAsia="黑体" w:hAnsi="Times New Roman Regular" w:cs="Times New Roman Regular" w:hint="eastAsia"/>
          <w:sz w:val="28"/>
          <w:szCs w:val="24"/>
        </w:rPr>
        <w:t xml:space="preserve">12 </w:t>
      </w:r>
      <w:r>
        <w:rPr>
          <w:rFonts w:ascii="Times New Roman Regular" w:eastAsia="黑体" w:hAnsi="Times New Roman Regular" w:cs="Times New Roman Regular"/>
          <w:sz w:val="28"/>
          <w:szCs w:val="24"/>
        </w:rPr>
        <w:t>太仓市工业废水及主要污染物排放量统计图</w:t>
      </w:r>
    </w:p>
    <w:p w:rsidR="00B373FD">
      <w:pPr>
        <w:pStyle w:val="Heading3"/>
        <w:numPr>
          <w:ilvl w:val="2"/>
          <w:numId w:val="4"/>
        </w:numPr>
        <w:rPr>
          <w:rFonts w:ascii="Times New Roman Regular" w:hAnsi="Times New Roman Regular" w:cs="Times New Roman Regular"/>
        </w:rPr>
      </w:pPr>
      <w:r>
        <w:rPr>
          <w:rFonts w:ascii="Times New Roman Regular" w:hAnsi="Times New Roman Regular" w:cs="Times New Roman Regular"/>
        </w:rPr>
        <w:t>固体废弃物排放情况</w:t>
      </w:r>
    </w:p>
    <w:p w:rsidR="00B373FD">
      <w:pPr>
        <w:adjustRightInd w:val="0"/>
        <w:snapToGrid w:val="0"/>
        <w:ind w:firstLine="640" w:firstLineChars="200"/>
        <w:rPr>
          <w:rFonts w:ascii="Times New Roman Regular" w:hAnsi="Times New Roman Regular" w:cs="Times New Roman Regular"/>
        </w:rPr>
      </w:pPr>
      <w:r>
        <w:rPr>
          <w:rFonts w:ascii="Times New Roman Regular" w:hAnsi="Times New Roman Regular" w:cs="Times New Roman Regular"/>
        </w:rPr>
        <w:t xml:space="preserve">2020 </w:t>
      </w:r>
      <w:r>
        <w:rPr>
          <w:rFonts w:ascii="Times New Roman Regular" w:hAnsi="Times New Roman Regular" w:cs="Times New Roman Regular"/>
        </w:rPr>
        <w:t>年，太仓市一般工业固体废物产生量为</w:t>
      </w:r>
      <w:r>
        <w:rPr>
          <w:rFonts w:ascii="Times New Roman Regular" w:hAnsi="Times New Roman Regular" w:cs="Times New Roman Regular"/>
        </w:rPr>
        <w:t xml:space="preserve"> 2373496.6 </w:t>
      </w:r>
      <w:r>
        <w:rPr>
          <w:rFonts w:ascii="Times New Roman Regular" w:hAnsi="Times New Roman Regular" w:cs="Times New Roman Regular"/>
        </w:rPr>
        <w:t>吨，处置量为</w:t>
      </w:r>
      <w:r>
        <w:rPr>
          <w:rFonts w:ascii="Times New Roman Regular" w:hAnsi="Times New Roman Regular" w:cs="Times New Roman Regular"/>
        </w:rPr>
        <w:t xml:space="preserve"> 205123.1 </w:t>
      </w:r>
      <w:r>
        <w:rPr>
          <w:rFonts w:ascii="Times New Roman Regular" w:hAnsi="Times New Roman Regular" w:cs="Times New Roman Regular"/>
        </w:rPr>
        <w:t>吨，综合利用量为</w:t>
      </w:r>
      <w:r>
        <w:rPr>
          <w:rFonts w:ascii="Times New Roman Regular" w:hAnsi="Times New Roman Regular" w:cs="Times New Roman Regular"/>
        </w:rPr>
        <w:t xml:space="preserve"> 2168288.6 </w:t>
      </w:r>
      <w:r>
        <w:rPr>
          <w:rFonts w:ascii="Times New Roman Regular" w:hAnsi="Times New Roman Regular" w:cs="Times New Roman Regular"/>
        </w:rPr>
        <w:t>吨，贮存量为</w:t>
      </w:r>
      <w:r>
        <w:rPr>
          <w:rFonts w:ascii="Times New Roman Regular" w:hAnsi="Times New Roman Regular" w:cs="Times New Roman Regular"/>
        </w:rPr>
        <w:t xml:space="preserve"> 438.0 </w:t>
      </w:r>
      <w:r>
        <w:rPr>
          <w:rFonts w:ascii="Times New Roman Regular" w:hAnsi="Times New Roman Regular" w:cs="Times New Roman Regular"/>
        </w:rPr>
        <w:t>吨，较</w:t>
      </w:r>
      <w:r>
        <w:rPr>
          <w:rFonts w:ascii="Times New Roman Regular" w:hAnsi="Times New Roman Regular" w:cs="Times New Roman Regular"/>
        </w:rPr>
        <w:t xml:space="preserve"> 2016 </w:t>
      </w:r>
      <w:r>
        <w:rPr>
          <w:rFonts w:ascii="Times New Roman Regular" w:hAnsi="Times New Roman Regular" w:cs="Times New Roman Regular"/>
        </w:rPr>
        <w:t>年相比，一般工业固体废物产生量、处置量分别上升了</w:t>
      </w:r>
      <w:r>
        <w:rPr>
          <w:rFonts w:ascii="Times New Roman Regular" w:hAnsi="Times New Roman Regular" w:cs="Times New Roman Regular"/>
        </w:rPr>
        <w:t xml:space="preserve"> 0.1%</w:t>
      </w:r>
      <w:r>
        <w:rPr>
          <w:rFonts w:ascii="Times New Roman Regular" w:hAnsi="Times New Roman Regular" w:cs="Times New Roman Regular"/>
        </w:rPr>
        <w:t>、</w:t>
      </w:r>
      <w:r>
        <w:rPr>
          <w:rFonts w:ascii="Times New Roman Regular" w:hAnsi="Times New Roman Regular" w:cs="Times New Roman Regular"/>
        </w:rPr>
        <w:t>4.1%</w:t>
      </w:r>
      <w:r>
        <w:rPr>
          <w:rFonts w:ascii="Times New Roman Regular" w:hAnsi="Times New Roman Regular" w:cs="Times New Roman Regular"/>
        </w:rPr>
        <w:t>，综合利用量、贮存量分别下降了</w:t>
      </w:r>
      <w:r>
        <w:rPr>
          <w:rFonts w:ascii="Times New Roman Regular" w:hAnsi="Times New Roman Regular" w:cs="Times New Roman Regular"/>
        </w:rPr>
        <w:t xml:space="preserve"> 6.9%</w:t>
      </w:r>
      <w:r>
        <w:rPr>
          <w:rFonts w:ascii="Times New Roman Regular" w:hAnsi="Times New Roman Regular" w:cs="Times New Roman Regular"/>
        </w:rPr>
        <w:t>、</w:t>
      </w:r>
      <w:r>
        <w:rPr>
          <w:rFonts w:ascii="Times New Roman Regular" w:hAnsi="Times New Roman Regular" w:cs="Times New Roman Regular"/>
        </w:rPr>
        <w:t>45.9%</w:t>
      </w:r>
      <w:r>
        <w:rPr>
          <w:rFonts w:ascii="Times New Roman Regular" w:hAnsi="Times New Roman Regular" w:cs="Times New Roman Regular"/>
        </w:rPr>
        <w:t>。</w:t>
      </w:r>
    </w:p>
    <w:p w:rsidR="00B373FD">
      <w:pPr>
        <w:adjustRightInd w:val="0"/>
        <w:snapToGrid w:val="0"/>
        <w:ind w:firstLine="640" w:firstLineChars="200"/>
        <w:rPr>
          <w:rFonts w:ascii="Times New Roman Regular" w:hAnsi="Times New Roman Regular" w:cs="Times New Roman Regular"/>
        </w:rPr>
      </w:pPr>
      <w:r>
        <w:rPr>
          <w:rFonts w:ascii="Times New Roman Regular" w:hAnsi="Times New Roman Regular" w:cs="Times New Roman Regular"/>
        </w:rPr>
        <w:t>危险废物产生量为</w:t>
      </w:r>
      <w:r>
        <w:rPr>
          <w:rFonts w:ascii="Times New Roman Regular" w:hAnsi="Times New Roman Regular" w:cs="Times New Roman Regular"/>
        </w:rPr>
        <w:t xml:space="preserve"> </w:t>
      </w:r>
      <w:r>
        <w:rPr>
          <w:rFonts w:ascii="Times New Roman Regular" w:hAnsi="Times New Roman Regular" w:cs="Times New Roman Regular" w:hint="eastAsia"/>
        </w:rPr>
        <w:t>75535.6</w:t>
      </w:r>
      <w:r>
        <w:rPr>
          <w:rFonts w:ascii="Times New Roman Regular" w:hAnsi="Times New Roman Regular" w:cs="Times New Roman Regular"/>
        </w:rPr>
        <w:t xml:space="preserve"> </w:t>
      </w:r>
      <w:r>
        <w:rPr>
          <w:rFonts w:ascii="Times New Roman Regular" w:hAnsi="Times New Roman Regular" w:cs="Times New Roman Regular"/>
        </w:rPr>
        <w:t>吨，处置量为</w:t>
      </w:r>
      <w:r>
        <w:rPr>
          <w:rFonts w:ascii="Times New Roman Regular" w:hAnsi="Times New Roman Regular" w:cs="Times New Roman Regular" w:hint="eastAsia"/>
        </w:rPr>
        <w:t>41966.9</w:t>
      </w:r>
      <w:r>
        <w:rPr>
          <w:rFonts w:ascii="Times New Roman Regular" w:hAnsi="Times New Roman Regular" w:cs="Times New Roman Regular"/>
        </w:rPr>
        <w:t>吨，</w:t>
      </w:r>
      <w:r>
        <w:rPr>
          <w:rFonts w:ascii="Times New Roman Regular" w:hAnsi="Times New Roman Regular" w:cs="Times New Roman Regular" w:hint="eastAsia"/>
        </w:rPr>
        <w:t>综合利用量为</w:t>
      </w:r>
      <w:r>
        <w:rPr>
          <w:rFonts w:ascii="Times New Roman Regular" w:hAnsi="Times New Roman Regular" w:cs="Times New Roman Regular" w:hint="eastAsia"/>
        </w:rPr>
        <w:t>34871.9</w:t>
      </w:r>
      <w:r>
        <w:rPr>
          <w:rFonts w:ascii="Times New Roman Regular" w:hAnsi="Times New Roman Regular" w:cs="Times New Roman Regular" w:hint="eastAsia"/>
        </w:rPr>
        <w:t>吨</w:t>
      </w:r>
      <w:r>
        <w:rPr>
          <w:rFonts w:ascii="Times New Roman Regular" w:hAnsi="Times New Roman Regular" w:cs="Times New Roman Regular"/>
        </w:rPr>
        <w:t>。危险废物处置利用率达</w:t>
      </w:r>
      <w:r>
        <w:rPr>
          <w:rFonts w:ascii="Times New Roman Regular" w:hAnsi="Times New Roman Regular" w:cs="Times New Roman Regular" w:hint="eastAsia"/>
        </w:rPr>
        <w:t>100</w:t>
      </w:r>
      <w:r>
        <w:rPr>
          <w:rFonts w:ascii="Times New Roman Regular" w:hAnsi="Times New Roman Regular" w:cs="Times New Roman Regular"/>
        </w:rPr>
        <w:t>%</w:t>
      </w:r>
      <w:r>
        <w:rPr>
          <w:rFonts w:ascii="Times New Roman Regular" w:hAnsi="Times New Roman Regular" w:cs="Times New Roman Regular"/>
        </w:rPr>
        <w:t>。</w:t>
      </w:r>
    </w:p>
    <w:p w:rsidR="00B373FD">
      <w:pPr>
        <w:adjustRightInd w:val="0"/>
        <w:snapToGrid w:val="0"/>
        <w:ind w:firstLine="640" w:firstLineChars="200"/>
        <w:rPr>
          <w:rFonts w:ascii="Times New Roman Regular" w:hAnsi="Times New Roman Regular" w:cs="Times New Roman Regular"/>
        </w:rPr>
      </w:pPr>
      <w:r>
        <w:rPr>
          <w:rFonts w:ascii="Times New Roman Regular" w:hAnsi="Times New Roman Regular" w:cs="Times New Roman Regular"/>
        </w:rPr>
        <w:t>全市生活垃圾产生量有上升趋势，</w:t>
      </w:r>
      <w:r>
        <w:rPr>
          <w:rFonts w:ascii="Times New Roman Regular" w:hAnsi="Times New Roman Regular" w:cs="Times New Roman Regular"/>
        </w:rPr>
        <w:t>2020</w:t>
      </w:r>
      <w:r>
        <w:rPr>
          <w:rFonts w:ascii="Times New Roman Regular" w:hAnsi="Times New Roman Regular" w:cs="Times New Roman Regular"/>
        </w:rPr>
        <w:t>年，全市生活垃圾产生量达</w:t>
      </w:r>
      <w:r>
        <w:rPr>
          <w:rFonts w:ascii="Times New Roman Regular" w:hAnsi="Times New Roman Regular" w:cs="Times New Roman Regular"/>
        </w:rPr>
        <w:t>37.8</w:t>
      </w:r>
      <w:r>
        <w:rPr>
          <w:rFonts w:ascii="Times New Roman Regular" w:hAnsi="Times New Roman Regular" w:cs="Times New Roman Regular"/>
        </w:rPr>
        <w:t>万吨，较</w:t>
      </w:r>
      <w:r>
        <w:rPr>
          <w:rFonts w:ascii="Times New Roman Regular" w:hAnsi="Times New Roman Regular" w:cs="Times New Roman Regular"/>
        </w:rPr>
        <w:t>2016</w:t>
      </w:r>
      <w:r>
        <w:rPr>
          <w:rFonts w:ascii="Times New Roman Regular" w:hAnsi="Times New Roman Regular" w:cs="Times New Roman Regular"/>
        </w:rPr>
        <w:t>年增加了</w:t>
      </w:r>
      <w:r>
        <w:rPr>
          <w:rFonts w:ascii="Times New Roman Regular" w:hAnsi="Times New Roman Regular" w:cs="Times New Roman Regular"/>
        </w:rPr>
        <w:t>8.4</w:t>
      </w:r>
      <w:r>
        <w:rPr>
          <w:rFonts w:ascii="Times New Roman Regular" w:hAnsi="Times New Roman Regular" w:cs="Times New Roman Regular"/>
        </w:rPr>
        <w:t>万吨。</w:t>
      </w:r>
      <w:r>
        <w:rPr>
          <w:rFonts w:ascii="Times New Roman Regular" w:hAnsi="Times New Roman Regular" w:cs="Times New Roman Regular"/>
        </w:rPr>
        <w:t>2018</w:t>
      </w:r>
      <w:r>
        <w:rPr>
          <w:rFonts w:ascii="Times New Roman Regular" w:hAnsi="Times New Roman Regular" w:cs="Times New Roman Regular"/>
        </w:rPr>
        <w:t>年，太仓市政府印发了《太仓市城乡生活垃圾分类和治理三年（</w:t>
      </w:r>
      <w:r>
        <w:rPr>
          <w:rFonts w:ascii="Times New Roman Regular" w:hAnsi="Times New Roman Regular" w:cs="Times New Roman Regular"/>
        </w:rPr>
        <w:t>2018—2020</w:t>
      </w:r>
      <w:r>
        <w:rPr>
          <w:rFonts w:ascii="Times New Roman Regular" w:hAnsi="Times New Roman Regular" w:cs="Times New Roman Regular"/>
        </w:rPr>
        <w:t>年）行动实施方案》，餐厨垃圾</w:t>
      </w:r>
      <w:r>
        <w:rPr>
          <w:rFonts w:ascii="Times New Roman Regular" w:hAnsi="Times New Roman Regular" w:cs="Times New Roman Regular"/>
          <w:color w:val="000000"/>
          <w:spacing w:val="8"/>
          <w:szCs w:val="32"/>
          <w:shd w:val="clear" w:color="auto" w:fill="FFFFFF"/>
        </w:rPr>
        <w:t>不再进入生活垃圾处理渠道。</w:t>
      </w:r>
      <w:r>
        <w:rPr>
          <w:rFonts w:ascii="Times New Roman Regular" w:hAnsi="Times New Roman Regular" w:cs="Times New Roman Regular"/>
          <w:color w:val="000000"/>
          <w:spacing w:val="8"/>
          <w:szCs w:val="32"/>
          <w:shd w:val="clear" w:color="auto" w:fill="FFFFFF"/>
        </w:rPr>
        <w:t>2020</w:t>
      </w:r>
      <w:r>
        <w:rPr>
          <w:rFonts w:ascii="Times New Roman Regular" w:hAnsi="Times New Roman Regular" w:cs="Times New Roman Regular"/>
          <w:color w:val="000000"/>
          <w:spacing w:val="8"/>
          <w:szCs w:val="32"/>
          <w:shd w:val="clear" w:color="auto" w:fill="FFFFFF"/>
        </w:rPr>
        <w:t>年全面开展居民小区垃圾分类</w:t>
      </w:r>
      <w:r>
        <w:rPr>
          <w:rFonts w:ascii="Times New Roman Regular" w:hAnsi="Times New Roman Regular" w:cs="Times New Roman Regular"/>
          <w:color w:val="000000"/>
          <w:spacing w:val="8"/>
          <w:szCs w:val="32"/>
          <w:shd w:val="clear" w:color="auto" w:fill="FFFFFF"/>
        </w:rPr>
        <w:t>“</w:t>
      </w:r>
      <w:r>
        <w:rPr>
          <w:rFonts w:ascii="Times New Roman Regular" w:hAnsi="Times New Roman Regular" w:cs="Times New Roman Regular"/>
          <w:color w:val="000000"/>
          <w:spacing w:val="8"/>
          <w:szCs w:val="32"/>
          <w:shd w:val="clear" w:color="auto" w:fill="FFFFFF"/>
        </w:rPr>
        <w:t>三定一督</w:t>
      </w:r>
      <w:r>
        <w:rPr>
          <w:rFonts w:ascii="Times New Roman Regular" w:hAnsi="Times New Roman Regular" w:cs="Times New Roman Regular"/>
          <w:color w:val="000000"/>
          <w:spacing w:val="8"/>
          <w:szCs w:val="32"/>
          <w:shd w:val="clear" w:color="auto" w:fill="FFFFFF"/>
        </w:rPr>
        <w:t>”</w:t>
      </w:r>
      <w:r>
        <w:rPr>
          <w:rFonts w:ascii="Times New Roman Regular" w:hAnsi="Times New Roman Regular" w:cs="Times New Roman Regular"/>
          <w:color w:val="000000"/>
          <w:spacing w:val="8"/>
          <w:szCs w:val="32"/>
          <w:shd w:val="clear" w:color="auto" w:fill="FFFFFF"/>
        </w:rPr>
        <w:t>模式，至</w:t>
      </w:r>
      <w:r>
        <w:rPr>
          <w:rFonts w:ascii="Times New Roman Regular" w:hAnsi="Times New Roman Regular" w:cs="Times New Roman Regular"/>
          <w:color w:val="000000"/>
          <w:spacing w:val="8"/>
          <w:szCs w:val="32"/>
          <w:shd w:val="clear" w:color="auto" w:fill="FFFFFF"/>
        </w:rPr>
        <w:t>2020</w:t>
      </w:r>
      <w:r>
        <w:rPr>
          <w:rFonts w:ascii="Times New Roman Regular" w:hAnsi="Times New Roman Regular" w:cs="Times New Roman Regular"/>
          <w:color w:val="000000"/>
          <w:spacing w:val="8"/>
          <w:szCs w:val="32"/>
          <w:shd w:val="clear" w:color="auto" w:fill="FFFFFF"/>
        </w:rPr>
        <w:t>年底已完成全覆盖。</w:t>
      </w:r>
      <w:r>
        <w:rPr>
          <w:rFonts w:ascii="Times New Roman Regular" w:hAnsi="Times New Roman Regular" w:cs="Times New Roman Regular"/>
        </w:rPr>
        <w:t>太仓市生活垃圾主要采用焚烧处置，餐厨垃圾采用厌氧发酵处理，生活垃圾集中处理率达</w:t>
      </w:r>
      <w:r>
        <w:rPr>
          <w:rFonts w:ascii="Times New Roman Regular" w:hAnsi="Times New Roman Regular" w:cs="Times New Roman Regular"/>
        </w:rPr>
        <w:t>97%</w:t>
      </w:r>
      <w:r>
        <w:rPr>
          <w:rFonts w:ascii="Times New Roman Regular" w:hAnsi="Times New Roman Regular" w:cs="Times New Roman Regular"/>
        </w:rPr>
        <w:t>，生活垃圾无害化处理率达</w:t>
      </w:r>
      <w:r>
        <w:rPr>
          <w:rFonts w:ascii="Times New Roman Regular" w:hAnsi="Times New Roman Regular" w:cs="Times New Roman Regular"/>
        </w:rPr>
        <w:t>100%</w:t>
      </w:r>
      <w:r>
        <w:rPr>
          <w:rFonts w:ascii="Times New Roman Regular" w:hAnsi="Times New Roman Regular" w:cs="Times New Roman Regular"/>
        </w:rPr>
        <w:t>。</w:t>
      </w:r>
    </w:p>
    <w:p w:rsidR="00B373FD">
      <w:pPr>
        <w:pStyle w:val="Heading2"/>
        <w:numPr>
          <w:ilvl w:val="1"/>
          <w:numId w:val="4"/>
        </w:numPr>
        <w:spacing w:before="156" w:after="156"/>
        <w:rPr>
          <w:rFonts w:ascii="Times New Roman Regular" w:hAnsi="Times New Roman Regular" w:cs="Times New Roman Regular"/>
        </w:rPr>
      </w:pPr>
      <w:bookmarkStart w:id="29" w:name="_Toc77862690"/>
      <w:r>
        <w:rPr>
          <w:rFonts w:ascii="Times New Roman Regular" w:hAnsi="Times New Roman Regular" w:cs="Times New Roman Regular"/>
        </w:rPr>
        <w:t>环保基础设施状况</w:t>
      </w:r>
      <w:bookmarkEnd w:id="29"/>
    </w:p>
    <w:p w:rsidR="00B373FD">
      <w:pPr>
        <w:pStyle w:val="Heading3"/>
        <w:numPr>
          <w:ilvl w:val="2"/>
          <w:numId w:val="4"/>
        </w:numPr>
        <w:rPr>
          <w:rFonts w:ascii="Times New Roman Regular" w:hAnsi="Times New Roman Regular" w:cs="Times New Roman Regular"/>
        </w:rPr>
      </w:pPr>
      <w:r>
        <w:rPr>
          <w:rFonts w:ascii="Times New Roman Regular" w:hAnsi="Times New Roman Regular" w:cs="Times New Roman Regular"/>
        </w:rPr>
        <w:t>污水处理设施</w:t>
      </w:r>
    </w:p>
    <w:p w:rsidR="00B373FD">
      <w:pPr>
        <w:adjustRightInd w:val="0"/>
        <w:snapToGrid w:val="0"/>
        <w:ind w:firstLine="640" w:firstLineChars="200"/>
        <w:rPr>
          <w:rFonts w:ascii="Times New Roman Regular" w:hAnsi="Times New Roman Regular" w:cs="Times New Roman Regular"/>
        </w:rPr>
      </w:pPr>
      <w:r>
        <w:rPr>
          <w:rFonts w:ascii="Times New Roman Regular" w:hAnsi="Times New Roman Regular" w:cs="Times New Roman Regular"/>
        </w:rPr>
        <w:t>截止</w:t>
      </w:r>
      <w:r>
        <w:rPr>
          <w:rFonts w:ascii="Times New Roman Regular" w:hAnsi="Times New Roman Regular" w:cs="Times New Roman Regular"/>
        </w:rPr>
        <w:t>2020</w:t>
      </w:r>
      <w:r>
        <w:rPr>
          <w:rFonts w:ascii="Times New Roman Regular" w:hAnsi="Times New Roman Regular" w:cs="Times New Roman Regular"/>
        </w:rPr>
        <w:t>年，全市共有</w:t>
      </w:r>
      <w:r>
        <w:rPr>
          <w:rFonts w:ascii="Times New Roman Regular" w:hAnsi="Times New Roman Regular" w:cs="Times New Roman Regular"/>
        </w:rPr>
        <w:t>9</w:t>
      </w:r>
      <w:r>
        <w:rPr>
          <w:rFonts w:ascii="Times New Roman Regular" w:hAnsi="Times New Roman Regular" w:cs="Times New Roman Regular"/>
        </w:rPr>
        <w:t>座城镇生活污水处理厂，日处理规模</w:t>
      </w:r>
      <w:r>
        <w:rPr>
          <w:rFonts w:ascii="Times New Roman Regular" w:hAnsi="Times New Roman Regular" w:cs="Times New Roman Regular" w:hint="eastAsia"/>
        </w:rPr>
        <w:t>28.5</w:t>
      </w:r>
      <w:r>
        <w:rPr>
          <w:rFonts w:ascii="Times New Roman Regular" w:hAnsi="Times New Roman Regular" w:cs="Times New Roman Regular"/>
        </w:rPr>
        <w:t>万吨，城镇生活污水收集率为</w:t>
      </w:r>
      <w:r>
        <w:rPr>
          <w:rFonts w:ascii="Times New Roman Regular" w:hAnsi="Times New Roman Regular" w:cs="Times New Roman Regular"/>
        </w:rPr>
        <w:t>99.6%</w:t>
      </w:r>
      <w:r>
        <w:rPr>
          <w:rFonts w:ascii="Times New Roman Regular" w:hAnsi="Times New Roman Regular" w:cs="Times New Roman Regular"/>
        </w:rPr>
        <w:t>。</w:t>
      </w:r>
    </w:p>
    <w:p w:rsidR="00B373FD">
      <w:pPr>
        <w:adjustRightInd w:val="0"/>
        <w:snapToGrid w:val="0"/>
        <w:spacing w:line="580" w:lineRule="exact"/>
        <w:jc w:val="center"/>
        <w:rPr>
          <w:rFonts w:ascii="Times New Roman Regular" w:eastAsia="黑体" w:hAnsi="Times New Roman Regular" w:cs="Times New Roman Regular"/>
          <w:sz w:val="28"/>
          <w:szCs w:val="24"/>
        </w:rPr>
      </w:pPr>
      <w:r>
        <w:rPr>
          <w:rFonts w:ascii="Times New Roman Regular" w:eastAsia="黑体" w:hAnsi="Times New Roman Regular" w:cs="Times New Roman Regular"/>
          <w:sz w:val="28"/>
          <w:szCs w:val="24"/>
        </w:rPr>
        <w:t>表</w:t>
      </w:r>
      <w:r>
        <w:rPr>
          <w:rFonts w:ascii="Times New Roman Regular" w:eastAsia="黑体" w:hAnsi="Times New Roman Regular" w:cs="Times New Roman Regular"/>
          <w:sz w:val="28"/>
          <w:szCs w:val="24"/>
        </w:rPr>
        <w:t>2-</w:t>
      </w:r>
      <w:r>
        <w:rPr>
          <w:rFonts w:ascii="Times New Roman Regular" w:eastAsia="黑体" w:hAnsi="Times New Roman Regular" w:cs="Times New Roman Regular" w:hint="eastAsia"/>
          <w:sz w:val="28"/>
          <w:szCs w:val="24"/>
        </w:rPr>
        <w:t>2</w:t>
      </w:r>
      <w:r w:rsidR="00716193">
        <w:rPr>
          <w:rFonts w:ascii="Times New Roman Regular" w:eastAsia="黑体" w:hAnsi="Times New Roman Regular" w:cs="Times New Roman Regular"/>
          <w:sz w:val="28"/>
          <w:szCs w:val="24"/>
        </w:rPr>
        <w:t>太仓市</w:t>
      </w:r>
      <w:r>
        <w:rPr>
          <w:rFonts w:ascii="Times New Roman Regular" w:eastAsia="黑体" w:hAnsi="Times New Roman Regular" w:cs="Times New Roman Regular"/>
          <w:sz w:val="28"/>
          <w:szCs w:val="24"/>
        </w:rPr>
        <w:t>城镇污水处理厂现状情况一览表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2"/>
        <w:gridCol w:w="2250"/>
        <w:gridCol w:w="2424"/>
        <w:gridCol w:w="1291"/>
        <w:gridCol w:w="1429"/>
      </w:tblGrid>
      <w:tr>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hRule="exact" w:val="510"/>
          <w:jc w:val="center"/>
        </w:trPr>
        <w:tc>
          <w:tcPr>
            <w:tcW w:w="544" w:type="pct"/>
            <w:vAlign w:val="center"/>
          </w:tcPr>
          <w:p w:rsidR="00B373FD">
            <w:pPr>
              <w:widowControl/>
              <w:adjustRightInd w:val="0"/>
              <w:jc w:val="center"/>
              <w:rPr>
                <w:rFonts w:ascii="Times New Roman Regular" w:eastAsia="宋体" w:hAnsi="Times New Roman Regular" w:cs="Times New Roman Regular"/>
                <w:b/>
                <w:bCs/>
                <w:color w:val="0D0D0D"/>
                <w:kern w:val="0"/>
                <w:sz w:val="24"/>
                <w:szCs w:val="24"/>
              </w:rPr>
            </w:pPr>
            <w:r>
              <w:rPr>
                <w:rFonts w:ascii="Times New Roman Regular" w:eastAsia="宋体" w:hAnsi="Times New Roman Regular" w:cs="Times New Roman Regular"/>
                <w:b/>
                <w:bCs/>
                <w:color w:val="0D0D0D"/>
                <w:kern w:val="0"/>
                <w:sz w:val="24"/>
                <w:szCs w:val="24"/>
              </w:rPr>
              <w:t>序号</w:t>
            </w:r>
          </w:p>
        </w:tc>
        <w:tc>
          <w:tcPr>
            <w:tcW w:w="1355" w:type="pct"/>
            <w:vAlign w:val="center"/>
          </w:tcPr>
          <w:p w:rsidR="00B373FD">
            <w:pPr>
              <w:widowControl/>
              <w:adjustRightInd w:val="0"/>
              <w:jc w:val="center"/>
              <w:rPr>
                <w:rFonts w:ascii="Times New Roman Regular" w:eastAsia="宋体" w:hAnsi="Times New Roman Regular" w:cs="Times New Roman Regular"/>
                <w:b/>
                <w:bCs/>
                <w:color w:val="0D0D0D"/>
                <w:kern w:val="0"/>
                <w:sz w:val="24"/>
                <w:szCs w:val="24"/>
              </w:rPr>
            </w:pPr>
            <w:r>
              <w:rPr>
                <w:rFonts w:ascii="Times New Roman Regular" w:eastAsia="宋体" w:hAnsi="Times New Roman Regular" w:cs="Times New Roman Regular"/>
                <w:b/>
                <w:bCs/>
                <w:color w:val="0D0D0D"/>
                <w:kern w:val="0"/>
                <w:sz w:val="24"/>
                <w:szCs w:val="24"/>
              </w:rPr>
              <w:t>污水处理厂</w:t>
            </w:r>
          </w:p>
        </w:tc>
        <w:tc>
          <w:tcPr>
            <w:tcW w:w="1460" w:type="pct"/>
            <w:vAlign w:val="center"/>
          </w:tcPr>
          <w:p w:rsidR="00B373FD">
            <w:pPr>
              <w:widowControl/>
              <w:adjustRightInd w:val="0"/>
              <w:jc w:val="center"/>
              <w:rPr>
                <w:rFonts w:ascii="Times New Roman Regular" w:eastAsia="宋体" w:hAnsi="Times New Roman Regular" w:cs="Times New Roman Regular"/>
                <w:b/>
                <w:bCs/>
                <w:color w:val="0D0D0D"/>
                <w:kern w:val="0"/>
                <w:sz w:val="24"/>
                <w:szCs w:val="24"/>
              </w:rPr>
            </w:pPr>
            <w:r>
              <w:rPr>
                <w:rFonts w:ascii="Times New Roman Regular" w:eastAsia="宋体" w:hAnsi="Times New Roman Regular" w:cs="Times New Roman Regular"/>
                <w:b/>
                <w:bCs/>
                <w:color w:val="0D0D0D"/>
                <w:kern w:val="0"/>
                <w:sz w:val="24"/>
                <w:szCs w:val="24"/>
              </w:rPr>
              <w:t>建设规模（万</w:t>
            </w:r>
            <w:r w:rsidRPr="00993048">
              <w:rPr>
                <w:rFonts w:eastAsia="宋体"/>
                <w:b/>
                <w:bCs/>
                <w:color w:val="0D0D0D"/>
                <w:kern w:val="0"/>
                <w:sz w:val="24"/>
                <w:szCs w:val="24"/>
              </w:rPr>
              <w:t>m</w:t>
            </w:r>
            <w:r w:rsidRPr="00993048">
              <w:rPr>
                <w:rFonts w:eastAsia="宋体"/>
                <w:b/>
                <w:bCs/>
                <w:color w:val="0D0D0D"/>
                <w:kern w:val="0"/>
                <w:sz w:val="24"/>
                <w:szCs w:val="24"/>
                <w:vertAlign w:val="superscript"/>
              </w:rPr>
              <w:t>3</w:t>
            </w:r>
            <w:r w:rsidRPr="00993048">
              <w:rPr>
                <w:rFonts w:eastAsia="宋体"/>
                <w:b/>
                <w:bCs/>
                <w:color w:val="0D0D0D"/>
                <w:kern w:val="0"/>
                <w:sz w:val="24"/>
                <w:szCs w:val="24"/>
              </w:rPr>
              <w:t>/d</w:t>
            </w:r>
            <w:r>
              <w:rPr>
                <w:rFonts w:ascii="Times New Roman Regular" w:eastAsia="宋体" w:hAnsi="Times New Roman Regular" w:cs="Times New Roman Regular"/>
                <w:b/>
                <w:bCs/>
                <w:color w:val="0D0D0D"/>
                <w:kern w:val="0"/>
                <w:sz w:val="24"/>
                <w:szCs w:val="24"/>
              </w:rPr>
              <w:t>）</w:t>
            </w:r>
          </w:p>
        </w:tc>
        <w:tc>
          <w:tcPr>
            <w:tcW w:w="777" w:type="pct"/>
            <w:vAlign w:val="center"/>
          </w:tcPr>
          <w:p w:rsidR="00B373FD">
            <w:pPr>
              <w:widowControl/>
              <w:adjustRightInd w:val="0"/>
              <w:jc w:val="center"/>
              <w:rPr>
                <w:rFonts w:ascii="Times New Roman Regular" w:eastAsia="宋体" w:hAnsi="Times New Roman Regular" w:cs="Times New Roman Regular"/>
                <w:b/>
                <w:bCs/>
                <w:color w:val="0D0D0D"/>
                <w:kern w:val="0"/>
                <w:sz w:val="24"/>
                <w:szCs w:val="24"/>
              </w:rPr>
            </w:pPr>
            <w:r>
              <w:rPr>
                <w:rFonts w:ascii="Times New Roman Regular" w:eastAsia="宋体" w:hAnsi="Times New Roman Regular" w:cs="Times New Roman Regular"/>
                <w:b/>
                <w:bCs/>
                <w:color w:val="0D0D0D"/>
                <w:kern w:val="0"/>
                <w:sz w:val="24"/>
                <w:szCs w:val="24"/>
              </w:rPr>
              <w:t>处理工艺</w:t>
            </w:r>
          </w:p>
        </w:tc>
        <w:tc>
          <w:tcPr>
            <w:tcW w:w="860" w:type="pct"/>
            <w:vAlign w:val="center"/>
          </w:tcPr>
          <w:p w:rsidR="00B373FD">
            <w:pPr>
              <w:widowControl/>
              <w:adjustRightInd w:val="0"/>
              <w:jc w:val="center"/>
              <w:rPr>
                <w:rFonts w:ascii="Times New Roman Regular" w:eastAsia="宋体" w:hAnsi="Times New Roman Regular" w:cs="Times New Roman Regular"/>
                <w:b/>
                <w:bCs/>
                <w:color w:val="0D0D0D"/>
                <w:kern w:val="0"/>
                <w:sz w:val="24"/>
                <w:szCs w:val="24"/>
              </w:rPr>
            </w:pPr>
            <w:r>
              <w:rPr>
                <w:rFonts w:ascii="Times New Roman Regular" w:eastAsia="宋体" w:hAnsi="Times New Roman Regular" w:cs="Times New Roman Regular"/>
                <w:b/>
                <w:bCs/>
                <w:color w:val="0D0D0D"/>
                <w:kern w:val="0"/>
                <w:sz w:val="24"/>
                <w:szCs w:val="24"/>
              </w:rPr>
              <w:t>排放水体</w:t>
            </w:r>
          </w:p>
        </w:tc>
      </w:tr>
      <w:tr>
        <w:tblPrEx>
          <w:tblW w:w="5000" w:type="pct"/>
          <w:jc w:val="center"/>
          <w:tblLayout w:type="fixed"/>
          <w:tblLook w:val="04A0"/>
        </w:tblPrEx>
        <w:trPr>
          <w:trHeight w:hRule="exact" w:val="510"/>
          <w:jc w:val="center"/>
        </w:trPr>
        <w:tc>
          <w:tcPr>
            <w:tcW w:w="544" w:type="pct"/>
            <w:vAlign w:val="center"/>
          </w:tcPr>
          <w:p w:rsidR="00B373FD">
            <w:pPr>
              <w:widowControl/>
              <w:adjustRightInd w:val="0"/>
              <w:jc w:val="center"/>
              <w:rPr>
                <w:rFonts w:ascii="Times New Roman Regular" w:eastAsia="宋体" w:hAnsi="Times New Roman Regular" w:cs="Times New Roman Regular"/>
                <w:color w:val="0D0D0D"/>
                <w:kern w:val="0"/>
                <w:sz w:val="24"/>
                <w:szCs w:val="24"/>
              </w:rPr>
            </w:pPr>
            <w:r>
              <w:rPr>
                <w:rFonts w:ascii="Times New Roman Regular" w:eastAsia="宋体" w:hAnsi="Times New Roman Regular" w:cs="Times New Roman Regular"/>
                <w:color w:val="0D0D0D"/>
                <w:kern w:val="0"/>
                <w:sz w:val="24"/>
                <w:szCs w:val="24"/>
              </w:rPr>
              <w:t>1</w:t>
            </w:r>
          </w:p>
        </w:tc>
        <w:tc>
          <w:tcPr>
            <w:tcW w:w="1355" w:type="pct"/>
            <w:vAlign w:val="center"/>
          </w:tcPr>
          <w:p w:rsidR="00B373FD">
            <w:pPr>
              <w:widowControl/>
              <w:adjustRightInd w:val="0"/>
              <w:jc w:val="center"/>
              <w:rPr>
                <w:rFonts w:ascii="Times New Roman Regular" w:eastAsia="宋体" w:hAnsi="Times New Roman Regular" w:cs="Times New Roman Regular"/>
                <w:color w:val="0D0D0D"/>
                <w:kern w:val="0"/>
                <w:sz w:val="24"/>
                <w:szCs w:val="24"/>
              </w:rPr>
            </w:pPr>
            <w:r>
              <w:rPr>
                <w:rFonts w:ascii="Times New Roman Regular" w:eastAsia="宋体" w:hAnsi="Times New Roman Regular" w:cs="Times New Roman Regular"/>
                <w:color w:val="0D0D0D"/>
                <w:kern w:val="0"/>
                <w:sz w:val="24"/>
                <w:szCs w:val="24"/>
              </w:rPr>
              <w:t>城区污水处理厂</w:t>
            </w:r>
          </w:p>
        </w:tc>
        <w:tc>
          <w:tcPr>
            <w:tcW w:w="1460" w:type="pct"/>
            <w:vAlign w:val="center"/>
          </w:tcPr>
          <w:p w:rsidR="00B373FD">
            <w:pPr>
              <w:widowControl/>
              <w:adjustRightInd w:val="0"/>
              <w:jc w:val="center"/>
              <w:rPr>
                <w:rFonts w:ascii="Times New Roman Regular" w:eastAsia="宋体" w:hAnsi="Times New Roman Regular" w:cs="Times New Roman Regular"/>
                <w:color w:val="0D0D0D"/>
                <w:kern w:val="0"/>
                <w:sz w:val="24"/>
                <w:szCs w:val="24"/>
              </w:rPr>
            </w:pPr>
            <w:r>
              <w:rPr>
                <w:rFonts w:ascii="Times New Roman Regular" w:eastAsia="宋体" w:hAnsi="Times New Roman Regular" w:cs="Times New Roman Regular"/>
                <w:color w:val="0D0D0D"/>
                <w:kern w:val="0"/>
                <w:sz w:val="24"/>
                <w:szCs w:val="24"/>
              </w:rPr>
              <w:t>6</w:t>
            </w:r>
          </w:p>
        </w:tc>
        <w:tc>
          <w:tcPr>
            <w:tcW w:w="777" w:type="pct"/>
            <w:vAlign w:val="center"/>
          </w:tcPr>
          <w:p w:rsidR="00B373FD">
            <w:pPr>
              <w:widowControl/>
              <w:adjustRightInd w:val="0"/>
              <w:jc w:val="center"/>
              <w:rPr>
                <w:rFonts w:ascii="Times New Roman Regular" w:eastAsia="宋体" w:hAnsi="Times New Roman Regular" w:cs="Times New Roman Regular"/>
                <w:color w:val="0D0D0D"/>
                <w:kern w:val="0"/>
                <w:sz w:val="24"/>
                <w:szCs w:val="24"/>
              </w:rPr>
            </w:pPr>
            <w:r>
              <w:rPr>
                <w:rFonts w:ascii="Times New Roman Regular" w:eastAsia="宋体" w:hAnsi="Times New Roman Regular" w:cs="Times New Roman Regular"/>
                <w:color w:val="0D0D0D"/>
                <w:kern w:val="0"/>
                <w:sz w:val="24"/>
                <w:szCs w:val="24"/>
              </w:rPr>
              <w:t>氧化沟</w:t>
            </w:r>
          </w:p>
        </w:tc>
        <w:tc>
          <w:tcPr>
            <w:tcW w:w="860" w:type="pct"/>
            <w:vAlign w:val="center"/>
          </w:tcPr>
          <w:p w:rsidR="00B373FD">
            <w:pPr>
              <w:widowControl/>
              <w:adjustRightInd w:val="0"/>
              <w:jc w:val="center"/>
              <w:rPr>
                <w:rFonts w:ascii="Times New Roman Regular" w:eastAsia="宋体" w:hAnsi="Times New Roman Regular" w:cs="Times New Roman Regular"/>
                <w:color w:val="0D0D0D"/>
                <w:kern w:val="0"/>
                <w:sz w:val="24"/>
                <w:szCs w:val="24"/>
              </w:rPr>
            </w:pPr>
            <w:r>
              <w:rPr>
                <w:rFonts w:ascii="Times New Roman Regular" w:eastAsia="宋体" w:hAnsi="Times New Roman Regular" w:cs="Times New Roman Regular"/>
                <w:color w:val="0D0D0D"/>
                <w:kern w:val="0"/>
                <w:sz w:val="24"/>
                <w:szCs w:val="24"/>
              </w:rPr>
              <w:t>吴塘</w:t>
            </w:r>
          </w:p>
        </w:tc>
      </w:tr>
      <w:tr>
        <w:tblPrEx>
          <w:tblW w:w="5000" w:type="pct"/>
          <w:jc w:val="center"/>
          <w:tblLayout w:type="fixed"/>
          <w:tblLook w:val="04A0"/>
        </w:tblPrEx>
        <w:trPr>
          <w:trHeight w:hRule="exact" w:val="510"/>
          <w:jc w:val="center"/>
        </w:trPr>
        <w:tc>
          <w:tcPr>
            <w:tcW w:w="544" w:type="pct"/>
            <w:vAlign w:val="center"/>
          </w:tcPr>
          <w:p w:rsidR="00B373FD">
            <w:pPr>
              <w:widowControl/>
              <w:adjustRightInd w:val="0"/>
              <w:jc w:val="center"/>
              <w:rPr>
                <w:rFonts w:ascii="Times New Roman Regular" w:eastAsia="宋体" w:hAnsi="Times New Roman Regular" w:cs="Times New Roman Regular"/>
                <w:color w:val="0D0D0D"/>
                <w:kern w:val="0"/>
                <w:sz w:val="24"/>
                <w:szCs w:val="24"/>
              </w:rPr>
            </w:pPr>
            <w:r>
              <w:rPr>
                <w:rFonts w:ascii="Times New Roman Regular" w:eastAsia="宋体" w:hAnsi="Times New Roman Regular" w:cs="Times New Roman Regular"/>
                <w:color w:val="0D0D0D"/>
                <w:kern w:val="0"/>
                <w:sz w:val="24"/>
                <w:szCs w:val="24"/>
              </w:rPr>
              <w:t>2</w:t>
            </w:r>
          </w:p>
        </w:tc>
        <w:tc>
          <w:tcPr>
            <w:tcW w:w="1355" w:type="pct"/>
            <w:vAlign w:val="center"/>
          </w:tcPr>
          <w:p w:rsidR="00B373FD">
            <w:pPr>
              <w:widowControl/>
              <w:adjustRightInd w:val="0"/>
              <w:jc w:val="center"/>
              <w:rPr>
                <w:rFonts w:ascii="Times New Roman Regular" w:eastAsia="宋体" w:hAnsi="Times New Roman Regular" w:cs="Times New Roman Regular"/>
                <w:color w:val="0D0D0D"/>
                <w:kern w:val="0"/>
                <w:sz w:val="24"/>
                <w:szCs w:val="24"/>
              </w:rPr>
            </w:pPr>
            <w:r>
              <w:rPr>
                <w:rFonts w:ascii="Times New Roman Regular" w:eastAsia="宋体" w:hAnsi="Times New Roman Regular" w:cs="Times New Roman Regular"/>
                <w:color w:val="0D0D0D"/>
                <w:kern w:val="0"/>
                <w:sz w:val="24"/>
                <w:szCs w:val="24"/>
              </w:rPr>
              <w:t>城东污水处理厂</w:t>
            </w:r>
          </w:p>
        </w:tc>
        <w:tc>
          <w:tcPr>
            <w:tcW w:w="1460" w:type="pct"/>
            <w:vAlign w:val="center"/>
          </w:tcPr>
          <w:p w:rsidR="00B373FD">
            <w:pPr>
              <w:widowControl/>
              <w:adjustRightInd w:val="0"/>
              <w:jc w:val="center"/>
              <w:rPr>
                <w:rFonts w:ascii="Times New Roman Regular" w:eastAsia="宋体" w:hAnsi="Times New Roman Regular" w:cs="Times New Roman Regular"/>
                <w:color w:val="0D0D0D"/>
                <w:kern w:val="0"/>
                <w:sz w:val="24"/>
                <w:szCs w:val="24"/>
              </w:rPr>
            </w:pPr>
            <w:r>
              <w:rPr>
                <w:rFonts w:ascii="Times New Roman Regular" w:eastAsia="宋体" w:hAnsi="Times New Roman Regular" w:cs="Times New Roman Regular"/>
                <w:color w:val="0D0D0D"/>
                <w:kern w:val="0"/>
                <w:sz w:val="24"/>
                <w:szCs w:val="24"/>
              </w:rPr>
              <w:t>7</w:t>
            </w:r>
          </w:p>
        </w:tc>
        <w:tc>
          <w:tcPr>
            <w:tcW w:w="777" w:type="pct"/>
            <w:vAlign w:val="center"/>
          </w:tcPr>
          <w:p w:rsidR="00B373FD" w:rsidRPr="00993048">
            <w:pPr>
              <w:widowControl/>
              <w:adjustRightInd w:val="0"/>
              <w:jc w:val="center"/>
              <w:rPr>
                <w:rFonts w:eastAsia="宋体"/>
                <w:color w:val="0D0D0D"/>
                <w:kern w:val="0"/>
                <w:sz w:val="24"/>
                <w:szCs w:val="24"/>
              </w:rPr>
            </w:pPr>
            <w:r w:rsidRPr="00993048">
              <w:rPr>
                <w:rFonts w:eastAsia="宋体"/>
                <w:color w:val="0D0D0D"/>
                <w:kern w:val="0"/>
                <w:sz w:val="24"/>
                <w:szCs w:val="24"/>
              </w:rPr>
              <w:t>CAST</w:t>
            </w:r>
          </w:p>
        </w:tc>
        <w:tc>
          <w:tcPr>
            <w:tcW w:w="860" w:type="pct"/>
            <w:vAlign w:val="center"/>
          </w:tcPr>
          <w:p w:rsidR="00B373FD">
            <w:pPr>
              <w:widowControl/>
              <w:adjustRightInd w:val="0"/>
              <w:jc w:val="center"/>
              <w:rPr>
                <w:rFonts w:ascii="Times New Roman Regular" w:eastAsia="宋体" w:hAnsi="Times New Roman Regular" w:cs="Times New Roman Regular"/>
                <w:color w:val="0D0D0D"/>
                <w:kern w:val="0"/>
                <w:sz w:val="24"/>
                <w:szCs w:val="24"/>
              </w:rPr>
            </w:pPr>
            <w:r>
              <w:rPr>
                <w:rFonts w:ascii="Times New Roman Regular" w:eastAsia="宋体" w:hAnsi="Times New Roman Regular" w:cs="Times New Roman Regular"/>
                <w:color w:val="0D0D0D"/>
                <w:kern w:val="0"/>
                <w:sz w:val="24"/>
                <w:szCs w:val="24"/>
              </w:rPr>
              <w:t>新浏河</w:t>
            </w:r>
          </w:p>
        </w:tc>
      </w:tr>
      <w:tr>
        <w:tblPrEx>
          <w:tblW w:w="5000" w:type="pct"/>
          <w:jc w:val="center"/>
          <w:tblLayout w:type="fixed"/>
          <w:tblLook w:val="04A0"/>
        </w:tblPrEx>
        <w:trPr>
          <w:trHeight w:hRule="exact" w:val="510"/>
          <w:jc w:val="center"/>
        </w:trPr>
        <w:tc>
          <w:tcPr>
            <w:tcW w:w="544" w:type="pct"/>
            <w:vAlign w:val="center"/>
          </w:tcPr>
          <w:p w:rsidR="00B373FD">
            <w:pPr>
              <w:widowControl/>
              <w:adjustRightInd w:val="0"/>
              <w:jc w:val="center"/>
              <w:rPr>
                <w:rFonts w:ascii="Times New Roman Regular" w:eastAsia="宋体" w:hAnsi="Times New Roman Regular" w:cs="Times New Roman Regular"/>
                <w:color w:val="0D0D0D"/>
                <w:kern w:val="0"/>
                <w:sz w:val="24"/>
                <w:szCs w:val="24"/>
              </w:rPr>
            </w:pPr>
            <w:r>
              <w:rPr>
                <w:rFonts w:ascii="Times New Roman Regular" w:eastAsia="宋体" w:hAnsi="Times New Roman Regular" w:cs="Times New Roman Regular"/>
                <w:color w:val="0D0D0D"/>
                <w:kern w:val="0"/>
                <w:sz w:val="24"/>
                <w:szCs w:val="24"/>
              </w:rPr>
              <w:t>3</w:t>
            </w:r>
          </w:p>
        </w:tc>
        <w:tc>
          <w:tcPr>
            <w:tcW w:w="1355" w:type="pct"/>
            <w:vAlign w:val="center"/>
          </w:tcPr>
          <w:p w:rsidR="00B373FD">
            <w:pPr>
              <w:widowControl/>
              <w:adjustRightInd w:val="0"/>
              <w:jc w:val="center"/>
              <w:rPr>
                <w:rFonts w:ascii="Times New Roman Regular" w:eastAsia="宋体" w:hAnsi="Times New Roman Regular" w:cs="Times New Roman Regular"/>
                <w:color w:val="0D0D0D"/>
                <w:kern w:val="0"/>
                <w:sz w:val="24"/>
                <w:szCs w:val="24"/>
              </w:rPr>
            </w:pPr>
            <w:r>
              <w:rPr>
                <w:rFonts w:ascii="Times New Roman Regular" w:eastAsia="宋体" w:hAnsi="Times New Roman Regular" w:cs="Times New Roman Regular"/>
                <w:color w:val="0D0D0D"/>
                <w:kern w:val="0"/>
                <w:sz w:val="24"/>
                <w:szCs w:val="24"/>
              </w:rPr>
              <w:t>南郊污水处理厂</w:t>
            </w:r>
          </w:p>
        </w:tc>
        <w:tc>
          <w:tcPr>
            <w:tcW w:w="1460" w:type="pct"/>
            <w:vAlign w:val="center"/>
          </w:tcPr>
          <w:p w:rsidR="00B373FD">
            <w:pPr>
              <w:widowControl/>
              <w:adjustRightInd w:val="0"/>
              <w:jc w:val="center"/>
              <w:rPr>
                <w:rFonts w:ascii="Times New Roman Regular" w:eastAsia="宋体" w:hAnsi="Times New Roman Regular" w:cs="Times New Roman Regular"/>
                <w:color w:val="0D0D0D"/>
                <w:kern w:val="0"/>
                <w:sz w:val="24"/>
                <w:szCs w:val="24"/>
              </w:rPr>
            </w:pPr>
            <w:r>
              <w:rPr>
                <w:rFonts w:ascii="Times New Roman Regular" w:eastAsia="宋体" w:hAnsi="Times New Roman Regular" w:cs="Times New Roman Regular"/>
                <w:color w:val="0D0D0D"/>
                <w:kern w:val="0"/>
                <w:sz w:val="24"/>
                <w:szCs w:val="24"/>
              </w:rPr>
              <w:t>4</w:t>
            </w:r>
          </w:p>
        </w:tc>
        <w:tc>
          <w:tcPr>
            <w:tcW w:w="777" w:type="pct"/>
            <w:vAlign w:val="center"/>
          </w:tcPr>
          <w:p w:rsidR="00B373FD">
            <w:pPr>
              <w:widowControl/>
              <w:adjustRightInd w:val="0"/>
              <w:jc w:val="center"/>
              <w:rPr>
                <w:rFonts w:ascii="Times New Roman Regular" w:eastAsia="宋体" w:hAnsi="Times New Roman Regular" w:cs="Times New Roman Regular"/>
                <w:color w:val="0D0D0D"/>
                <w:kern w:val="0"/>
                <w:sz w:val="24"/>
                <w:szCs w:val="24"/>
              </w:rPr>
            </w:pPr>
            <w:r>
              <w:rPr>
                <w:rFonts w:ascii="Times New Roman Regular" w:eastAsia="宋体" w:hAnsi="Times New Roman Regular" w:cs="Times New Roman Regular"/>
                <w:color w:val="0D0D0D"/>
                <w:kern w:val="0"/>
                <w:sz w:val="24"/>
                <w:szCs w:val="24"/>
              </w:rPr>
              <w:t>氧化沟</w:t>
            </w:r>
          </w:p>
        </w:tc>
        <w:tc>
          <w:tcPr>
            <w:tcW w:w="860" w:type="pct"/>
            <w:vAlign w:val="center"/>
          </w:tcPr>
          <w:p w:rsidR="00B373FD">
            <w:pPr>
              <w:widowControl/>
              <w:adjustRightInd w:val="0"/>
              <w:jc w:val="center"/>
              <w:rPr>
                <w:rFonts w:ascii="Times New Roman Regular" w:eastAsia="宋体" w:hAnsi="Times New Roman Regular" w:cs="Times New Roman Regular"/>
                <w:color w:val="0D0D0D"/>
                <w:kern w:val="0"/>
                <w:sz w:val="24"/>
                <w:szCs w:val="24"/>
              </w:rPr>
            </w:pPr>
            <w:r>
              <w:rPr>
                <w:rFonts w:ascii="Times New Roman Regular" w:eastAsia="宋体" w:hAnsi="Times New Roman Regular" w:cs="Times New Roman Regular"/>
                <w:color w:val="0D0D0D"/>
                <w:kern w:val="0"/>
                <w:sz w:val="24"/>
                <w:szCs w:val="24"/>
              </w:rPr>
              <w:t>新浏河</w:t>
            </w:r>
          </w:p>
        </w:tc>
      </w:tr>
      <w:tr>
        <w:tblPrEx>
          <w:tblW w:w="5000" w:type="pct"/>
          <w:jc w:val="center"/>
          <w:tblLayout w:type="fixed"/>
          <w:tblLook w:val="04A0"/>
        </w:tblPrEx>
        <w:trPr>
          <w:trHeight w:hRule="exact" w:val="510"/>
          <w:jc w:val="center"/>
        </w:trPr>
        <w:tc>
          <w:tcPr>
            <w:tcW w:w="544" w:type="pct"/>
            <w:vAlign w:val="center"/>
          </w:tcPr>
          <w:p w:rsidR="00B373FD">
            <w:pPr>
              <w:widowControl/>
              <w:adjustRightInd w:val="0"/>
              <w:jc w:val="center"/>
              <w:rPr>
                <w:rFonts w:ascii="Times New Roman Regular" w:eastAsia="宋体" w:hAnsi="Times New Roman Regular" w:cs="Times New Roman Regular"/>
                <w:color w:val="0D0D0D"/>
                <w:kern w:val="0"/>
                <w:sz w:val="24"/>
                <w:szCs w:val="24"/>
              </w:rPr>
            </w:pPr>
            <w:r>
              <w:rPr>
                <w:rFonts w:ascii="Times New Roman Regular" w:eastAsia="宋体" w:hAnsi="Times New Roman Regular" w:cs="Times New Roman Regular"/>
                <w:color w:val="0D0D0D"/>
                <w:kern w:val="0"/>
                <w:sz w:val="24"/>
                <w:szCs w:val="24"/>
              </w:rPr>
              <w:t>4</w:t>
            </w:r>
          </w:p>
        </w:tc>
        <w:tc>
          <w:tcPr>
            <w:tcW w:w="1355" w:type="pct"/>
            <w:vAlign w:val="center"/>
          </w:tcPr>
          <w:p w:rsidR="00B373FD">
            <w:pPr>
              <w:widowControl/>
              <w:adjustRightInd w:val="0"/>
              <w:jc w:val="center"/>
              <w:rPr>
                <w:rFonts w:ascii="Times New Roman Regular" w:eastAsia="宋体" w:hAnsi="Times New Roman Regular" w:cs="Times New Roman Regular"/>
                <w:color w:val="0D0D0D"/>
                <w:kern w:val="0"/>
                <w:sz w:val="24"/>
                <w:szCs w:val="24"/>
              </w:rPr>
            </w:pPr>
            <w:r>
              <w:rPr>
                <w:rFonts w:ascii="Times New Roman Regular" w:eastAsia="宋体" w:hAnsi="Times New Roman Regular" w:cs="Times New Roman Regular"/>
                <w:color w:val="0D0D0D"/>
                <w:kern w:val="0"/>
                <w:sz w:val="24"/>
                <w:szCs w:val="24"/>
              </w:rPr>
              <w:t>双凤污水处理厂</w:t>
            </w:r>
          </w:p>
        </w:tc>
        <w:tc>
          <w:tcPr>
            <w:tcW w:w="1460" w:type="pct"/>
            <w:vAlign w:val="center"/>
          </w:tcPr>
          <w:p w:rsidR="00B373FD">
            <w:pPr>
              <w:widowControl/>
              <w:adjustRightInd w:val="0"/>
              <w:jc w:val="center"/>
              <w:rPr>
                <w:rFonts w:ascii="Times New Roman Regular" w:eastAsia="宋体" w:hAnsi="Times New Roman Regular" w:cs="Times New Roman Regular"/>
                <w:color w:val="0D0D0D"/>
                <w:kern w:val="0"/>
                <w:sz w:val="24"/>
                <w:szCs w:val="24"/>
              </w:rPr>
            </w:pPr>
            <w:r>
              <w:rPr>
                <w:rFonts w:ascii="Times New Roman Regular" w:eastAsia="宋体" w:hAnsi="Times New Roman Regular" w:cs="Times New Roman Regular"/>
                <w:color w:val="0D0D0D"/>
                <w:kern w:val="0"/>
                <w:sz w:val="24"/>
                <w:szCs w:val="24"/>
              </w:rPr>
              <w:t>1.5</w:t>
            </w:r>
          </w:p>
        </w:tc>
        <w:tc>
          <w:tcPr>
            <w:tcW w:w="777" w:type="pct"/>
            <w:vAlign w:val="center"/>
          </w:tcPr>
          <w:p w:rsidR="00B373FD">
            <w:pPr>
              <w:widowControl/>
              <w:adjustRightInd w:val="0"/>
              <w:jc w:val="center"/>
              <w:rPr>
                <w:rFonts w:ascii="Times New Roman Regular" w:eastAsia="宋体" w:hAnsi="Times New Roman Regular" w:cs="Times New Roman Regular"/>
                <w:color w:val="0D0D0D"/>
                <w:kern w:val="0"/>
                <w:sz w:val="24"/>
                <w:szCs w:val="24"/>
              </w:rPr>
            </w:pPr>
            <w:r>
              <w:rPr>
                <w:rFonts w:ascii="Times New Roman Regular" w:eastAsia="宋体" w:hAnsi="Times New Roman Regular" w:cs="Times New Roman Regular"/>
                <w:color w:val="0D0D0D"/>
                <w:kern w:val="0"/>
                <w:sz w:val="24"/>
                <w:szCs w:val="24"/>
              </w:rPr>
              <w:t>氧化沟</w:t>
            </w:r>
          </w:p>
        </w:tc>
        <w:tc>
          <w:tcPr>
            <w:tcW w:w="860" w:type="pct"/>
            <w:vAlign w:val="center"/>
          </w:tcPr>
          <w:p w:rsidR="00B373FD">
            <w:pPr>
              <w:widowControl/>
              <w:adjustRightInd w:val="0"/>
              <w:jc w:val="center"/>
              <w:rPr>
                <w:rFonts w:ascii="Times New Roman Regular" w:eastAsia="宋体" w:hAnsi="Times New Roman Regular" w:cs="Times New Roman Regular"/>
                <w:color w:val="0D0D0D"/>
                <w:kern w:val="0"/>
                <w:sz w:val="24"/>
                <w:szCs w:val="24"/>
              </w:rPr>
            </w:pPr>
            <w:r>
              <w:rPr>
                <w:rFonts w:ascii="Times New Roman Regular" w:eastAsia="宋体" w:hAnsi="Times New Roman Regular" w:cs="Times New Roman Regular"/>
                <w:color w:val="0D0D0D"/>
                <w:kern w:val="0"/>
                <w:sz w:val="24"/>
                <w:szCs w:val="24"/>
              </w:rPr>
              <w:t>盐铁塘</w:t>
            </w:r>
          </w:p>
        </w:tc>
      </w:tr>
      <w:tr>
        <w:tblPrEx>
          <w:tblW w:w="5000" w:type="pct"/>
          <w:jc w:val="center"/>
          <w:tblLayout w:type="fixed"/>
          <w:tblLook w:val="04A0"/>
        </w:tblPrEx>
        <w:trPr>
          <w:trHeight w:hRule="exact" w:val="510"/>
          <w:jc w:val="center"/>
        </w:trPr>
        <w:tc>
          <w:tcPr>
            <w:tcW w:w="544" w:type="pct"/>
            <w:vAlign w:val="center"/>
          </w:tcPr>
          <w:p w:rsidR="00B373FD">
            <w:pPr>
              <w:widowControl/>
              <w:adjustRightInd w:val="0"/>
              <w:jc w:val="center"/>
              <w:rPr>
                <w:rFonts w:ascii="Times New Roman Regular" w:eastAsia="宋体" w:hAnsi="Times New Roman Regular" w:cs="Times New Roman Regular"/>
                <w:color w:val="0D0D0D"/>
                <w:kern w:val="0"/>
                <w:sz w:val="24"/>
                <w:szCs w:val="24"/>
              </w:rPr>
            </w:pPr>
            <w:r>
              <w:rPr>
                <w:rFonts w:ascii="Times New Roman Regular" w:eastAsia="宋体" w:hAnsi="Times New Roman Regular" w:cs="Times New Roman Regular"/>
                <w:color w:val="0D0D0D"/>
                <w:kern w:val="0"/>
                <w:sz w:val="24"/>
                <w:szCs w:val="24"/>
              </w:rPr>
              <w:t>5</w:t>
            </w:r>
          </w:p>
        </w:tc>
        <w:tc>
          <w:tcPr>
            <w:tcW w:w="1355" w:type="pct"/>
            <w:vAlign w:val="center"/>
          </w:tcPr>
          <w:p w:rsidR="00B373FD">
            <w:pPr>
              <w:widowControl/>
              <w:adjustRightInd w:val="0"/>
              <w:jc w:val="center"/>
              <w:rPr>
                <w:rFonts w:ascii="Times New Roman Regular" w:eastAsia="宋体" w:hAnsi="Times New Roman Regular" w:cs="Times New Roman Regular"/>
                <w:color w:val="0D0D0D"/>
                <w:kern w:val="0"/>
                <w:sz w:val="24"/>
                <w:szCs w:val="24"/>
              </w:rPr>
            </w:pPr>
            <w:r>
              <w:rPr>
                <w:rFonts w:ascii="Times New Roman Regular" w:eastAsia="宋体" w:hAnsi="Times New Roman Regular" w:cs="Times New Roman Regular"/>
                <w:color w:val="0D0D0D"/>
                <w:kern w:val="0"/>
                <w:sz w:val="24"/>
                <w:szCs w:val="24"/>
              </w:rPr>
              <w:t>江城污水处理厂</w:t>
            </w:r>
          </w:p>
        </w:tc>
        <w:tc>
          <w:tcPr>
            <w:tcW w:w="1460" w:type="pct"/>
            <w:vAlign w:val="center"/>
          </w:tcPr>
          <w:p w:rsidR="00B373FD">
            <w:pPr>
              <w:widowControl/>
              <w:adjustRightInd w:val="0"/>
              <w:jc w:val="center"/>
              <w:rPr>
                <w:rFonts w:ascii="Times New Roman Regular" w:eastAsia="宋体" w:hAnsi="Times New Roman Regular" w:cs="Times New Roman Regular"/>
                <w:color w:val="0D0D0D"/>
                <w:kern w:val="0"/>
                <w:sz w:val="24"/>
                <w:szCs w:val="24"/>
              </w:rPr>
            </w:pPr>
            <w:r>
              <w:rPr>
                <w:rFonts w:ascii="Times New Roman Regular" w:eastAsia="宋体" w:hAnsi="Times New Roman Regular" w:cs="Times New Roman Regular"/>
                <w:color w:val="0D0D0D"/>
                <w:kern w:val="0"/>
                <w:sz w:val="24"/>
                <w:szCs w:val="24"/>
              </w:rPr>
              <w:t>2</w:t>
            </w:r>
          </w:p>
        </w:tc>
        <w:tc>
          <w:tcPr>
            <w:tcW w:w="777" w:type="pct"/>
            <w:vAlign w:val="center"/>
          </w:tcPr>
          <w:p w:rsidR="00B373FD">
            <w:pPr>
              <w:widowControl/>
              <w:adjustRightInd w:val="0"/>
              <w:jc w:val="center"/>
              <w:rPr>
                <w:rFonts w:ascii="Times New Roman Regular" w:eastAsia="宋体" w:hAnsi="Times New Roman Regular" w:cs="Times New Roman Regular"/>
                <w:color w:val="0D0D0D"/>
                <w:kern w:val="0"/>
                <w:sz w:val="24"/>
                <w:szCs w:val="24"/>
              </w:rPr>
            </w:pPr>
            <w:r w:rsidRPr="00993048">
              <w:rPr>
                <w:rFonts w:eastAsia="宋体"/>
                <w:color w:val="0D0D0D"/>
                <w:kern w:val="0"/>
                <w:sz w:val="24"/>
                <w:szCs w:val="24"/>
              </w:rPr>
              <w:t>AO</w:t>
            </w:r>
          </w:p>
        </w:tc>
        <w:tc>
          <w:tcPr>
            <w:tcW w:w="860" w:type="pct"/>
            <w:vAlign w:val="center"/>
          </w:tcPr>
          <w:p w:rsidR="00B373FD">
            <w:pPr>
              <w:widowControl/>
              <w:adjustRightInd w:val="0"/>
              <w:jc w:val="center"/>
              <w:rPr>
                <w:rFonts w:ascii="Times New Roman Regular" w:eastAsia="宋体" w:hAnsi="Times New Roman Regular" w:cs="Times New Roman Regular"/>
                <w:color w:val="0D0D0D"/>
                <w:kern w:val="0"/>
                <w:sz w:val="24"/>
                <w:szCs w:val="24"/>
              </w:rPr>
            </w:pPr>
            <w:r>
              <w:rPr>
                <w:rFonts w:ascii="Times New Roman Regular" w:eastAsia="宋体" w:hAnsi="Times New Roman Regular" w:cs="Times New Roman Regular"/>
                <w:color w:val="0D0D0D"/>
                <w:kern w:val="0"/>
                <w:sz w:val="24"/>
                <w:szCs w:val="24"/>
              </w:rPr>
              <w:t>长江</w:t>
            </w:r>
          </w:p>
        </w:tc>
      </w:tr>
      <w:tr>
        <w:tblPrEx>
          <w:tblW w:w="5000" w:type="pct"/>
          <w:jc w:val="center"/>
          <w:tblLayout w:type="fixed"/>
          <w:tblLook w:val="04A0"/>
        </w:tblPrEx>
        <w:trPr>
          <w:trHeight w:hRule="exact" w:val="510"/>
          <w:jc w:val="center"/>
        </w:trPr>
        <w:tc>
          <w:tcPr>
            <w:tcW w:w="544" w:type="pct"/>
            <w:vAlign w:val="center"/>
          </w:tcPr>
          <w:p w:rsidR="00B373FD">
            <w:pPr>
              <w:widowControl/>
              <w:adjustRightInd w:val="0"/>
              <w:jc w:val="center"/>
              <w:rPr>
                <w:rFonts w:ascii="Times New Roman Regular" w:eastAsia="宋体" w:hAnsi="Times New Roman Regular" w:cs="Times New Roman Regular"/>
                <w:color w:val="0D0D0D"/>
                <w:kern w:val="0"/>
                <w:sz w:val="24"/>
                <w:szCs w:val="24"/>
              </w:rPr>
            </w:pPr>
            <w:r>
              <w:rPr>
                <w:rFonts w:ascii="Times New Roman Regular" w:eastAsia="宋体" w:hAnsi="Times New Roman Regular" w:cs="Times New Roman Regular"/>
                <w:color w:val="0D0D0D"/>
                <w:kern w:val="0"/>
                <w:sz w:val="24"/>
                <w:szCs w:val="24"/>
              </w:rPr>
              <w:t>6</w:t>
            </w:r>
          </w:p>
        </w:tc>
        <w:tc>
          <w:tcPr>
            <w:tcW w:w="1355" w:type="pct"/>
            <w:vAlign w:val="center"/>
          </w:tcPr>
          <w:p w:rsidR="00B373FD">
            <w:pPr>
              <w:widowControl/>
              <w:adjustRightInd w:val="0"/>
              <w:jc w:val="center"/>
              <w:rPr>
                <w:rFonts w:ascii="Times New Roman Regular" w:eastAsia="宋体" w:hAnsi="Times New Roman Regular" w:cs="Times New Roman Regular"/>
                <w:color w:val="0D0D0D"/>
                <w:kern w:val="0"/>
                <w:sz w:val="24"/>
                <w:szCs w:val="24"/>
              </w:rPr>
            </w:pPr>
            <w:r>
              <w:rPr>
                <w:rFonts w:ascii="Times New Roman Regular" w:eastAsia="宋体" w:hAnsi="Times New Roman Regular" w:cs="Times New Roman Regular"/>
                <w:color w:val="0D0D0D"/>
                <w:kern w:val="0"/>
                <w:sz w:val="24"/>
                <w:szCs w:val="24"/>
              </w:rPr>
              <w:t>璜泾污水处理厂</w:t>
            </w:r>
          </w:p>
        </w:tc>
        <w:tc>
          <w:tcPr>
            <w:tcW w:w="1460" w:type="pct"/>
            <w:vAlign w:val="center"/>
          </w:tcPr>
          <w:p w:rsidR="00B373FD">
            <w:pPr>
              <w:widowControl/>
              <w:adjustRightInd w:val="0"/>
              <w:jc w:val="center"/>
              <w:rPr>
                <w:rFonts w:ascii="Times New Roman Regular" w:eastAsia="宋体" w:hAnsi="Times New Roman Regular" w:cs="Times New Roman Regular"/>
                <w:color w:val="0D0D0D"/>
                <w:kern w:val="0"/>
                <w:sz w:val="24"/>
                <w:szCs w:val="24"/>
              </w:rPr>
            </w:pPr>
            <w:r>
              <w:rPr>
                <w:rFonts w:ascii="Times New Roman Regular" w:eastAsia="宋体" w:hAnsi="Times New Roman Regular" w:cs="Times New Roman Regular"/>
                <w:color w:val="0D0D0D"/>
                <w:kern w:val="0"/>
                <w:sz w:val="24"/>
                <w:szCs w:val="24"/>
              </w:rPr>
              <w:t>1</w:t>
            </w:r>
          </w:p>
        </w:tc>
        <w:tc>
          <w:tcPr>
            <w:tcW w:w="777" w:type="pct"/>
            <w:vAlign w:val="center"/>
          </w:tcPr>
          <w:p w:rsidR="00B373FD">
            <w:pPr>
              <w:widowControl/>
              <w:adjustRightInd w:val="0"/>
              <w:jc w:val="center"/>
              <w:rPr>
                <w:rFonts w:ascii="Times New Roman Regular" w:eastAsia="宋体" w:hAnsi="Times New Roman Regular" w:cs="Times New Roman Regular"/>
                <w:color w:val="0D0D0D"/>
                <w:kern w:val="0"/>
                <w:sz w:val="24"/>
                <w:szCs w:val="24"/>
              </w:rPr>
            </w:pPr>
            <w:r>
              <w:rPr>
                <w:rFonts w:ascii="Times New Roman Regular" w:eastAsia="宋体" w:hAnsi="Times New Roman Regular" w:cs="Times New Roman Regular"/>
                <w:color w:val="0D0D0D"/>
                <w:kern w:val="0"/>
                <w:sz w:val="24"/>
                <w:szCs w:val="24"/>
              </w:rPr>
              <w:t>氧化沟</w:t>
            </w:r>
          </w:p>
        </w:tc>
        <w:tc>
          <w:tcPr>
            <w:tcW w:w="860" w:type="pct"/>
            <w:vAlign w:val="center"/>
          </w:tcPr>
          <w:p w:rsidR="00B373FD">
            <w:pPr>
              <w:widowControl/>
              <w:adjustRightInd w:val="0"/>
              <w:jc w:val="center"/>
              <w:rPr>
                <w:rFonts w:ascii="Times New Roman Regular" w:eastAsia="宋体" w:hAnsi="Times New Roman Regular" w:cs="Times New Roman Regular"/>
                <w:color w:val="0D0D0D"/>
                <w:kern w:val="0"/>
                <w:sz w:val="24"/>
                <w:szCs w:val="24"/>
              </w:rPr>
            </w:pPr>
            <w:r>
              <w:rPr>
                <w:rFonts w:ascii="Times New Roman Regular" w:eastAsia="宋体" w:hAnsi="Times New Roman Regular" w:cs="Times New Roman Regular"/>
                <w:color w:val="0D0D0D"/>
                <w:kern w:val="0"/>
                <w:sz w:val="24"/>
                <w:szCs w:val="24"/>
              </w:rPr>
              <w:t>三漫塘</w:t>
            </w:r>
          </w:p>
        </w:tc>
      </w:tr>
      <w:tr>
        <w:tblPrEx>
          <w:tblW w:w="5000" w:type="pct"/>
          <w:jc w:val="center"/>
          <w:tblLayout w:type="fixed"/>
          <w:tblLook w:val="04A0"/>
        </w:tblPrEx>
        <w:trPr>
          <w:trHeight w:hRule="exact" w:val="510"/>
          <w:jc w:val="center"/>
        </w:trPr>
        <w:tc>
          <w:tcPr>
            <w:tcW w:w="544" w:type="pct"/>
            <w:vAlign w:val="center"/>
          </w:tcPr>
          <w:p w:rsidR="00B373FD">
            <w:pPr>
              <w:widowControl/>
              <w:adjustRightInd w:val="0"/>
              <w:jc w:val="center"/>
              <w:rPr>
                <w:rFonts w:ascii="Times New Roman Regular" w:eastAsia="宋体" w:hAnsi="Times New Roman Regular" w:cs="Times New Roman Regular"/>
                <w:color w:val="0D0D0D"/>
                <w:kern w:val="0"/>
                <w:sz w:val="24"/>
                <w:szCs w:val="24"/>
              </w:rPr>
            </w:pPr>
            <w:r>
              <w:rPr>
                <w:rFonts w:ascii="Times New Roman Regular" w:eastAsia="宋体" w:hAnsi="Times New Roman Regular" w:cs="Times New Roman Regular"/>
                <w:color w:val="0D0D0D"/>
                <w:kern w:val="0"/>
                <w:sz w:val="24"/>
                <w:szCs w:val="24"/>
              </w:rPr>
              <w:t>7</w:t>
            </w:r>
          </w:p>
        </w:tc>
        <w:tc>
          <w:tcPr>
            <w:tcW w:w="1355" w:type="pct"/>
            <w:vAlign w:val="center"/>
          </w:tcPr>
          <w:p w:rsidR="00B373FD">
            <w:pPr>
              <w:widowControl/>
              <w:adjustRightInd w:val="0"/>
              <w:jc w:val="center"/>
              <w:rPr>
                <w:rFonts w:ascii="Times New Roman Regular" w:eastAsia="宋体" w:hAnsi="Times New Roman Regular" w:cs="Times New Roman Regular"/>
                <w:color w:val="0D0D0D"/>
                <w:kern w:val="0"/>
                <w:sz w:val="24"/>
                <w:szCs w:val="24"/>
              </w:rPr>
            </w:pPr>
            <w:r>
              <w:rPr>
                <w:rFonts w:ascii="Times New Roman Regular" w:eastAsia="宋体" w:hAnsi="Times New Roman Regular" w:cs="Times New Roman Regular"/>
                <w:color w:val="0D0D0D"/>
                <w:kern w:val="0"/>
                <w:sz w:val="24"/>
                <w:szCs w:val="24"/>
              </w:rPr>
              <w:t>沙溪污水处理厂</w:t>
            </w:r>
          </w:p>
        </w:tc>
        <w:tc>
          <w:tcPr>
            <w:tcW w:w="1460" w:type="pct"/>
            <w:vAlign w:val="center"/>
          </w:tcPr>
          <w:p w:rsidR="00B373FD">
            <w:pPr>
              <w:widowControl/>
              <w:adjustRightInd w:val="0"/>
              <w:jc w:val="center"/>
              <w:rPr>
                <w:rFonts w:ascii="Times New Roman Regular" w:eastAsia="宋体" w:hAnsi="Times New Roman Regular" w:cs="Times New Roman Regular"/>
                <w:color w:val="0D0D0D"/>
                <w:kern w:val="0"/>
                <w:sz w:val="24"/>
                <w:szCs w:val="24"/>
              </w:rPr>
            </w:pPr>
            <w:r>
              <w:rPr>
                <w:rFonts w:ascii="Times New Roman Regular" w:eastAsia="宋体" w:hAnsi="Times New Roman Regular" w:cs="Times New Roman Regular"/>
                <w:color w:val="0D0D0D"/>
                <w:kern w:val="0"/>
                <w:sz w:val="24"/>
                <w:szCs w:val="24"/>
              </w:rPr>
              <w:t>3</w:t>
            </w:r>
          </w:p>
        </w:tc>
        <w:tc>
          <w:tcPr>
            <w:tcW w:w="777" w:type="pct"/>
            <w:vAlign w:val="center"/>
          </w:tcPr>
          <w:p w:rsidR="00B373FD">
            <w:pPr>
              <w:widowControl/>
              <w:adjustRightInd w:val="0"/>
              <w:jc w:val="center"/>
              <w:rPr>
                <w:rFonts w:ascii="Times New Roman Regular" w:eastAsia="宋体" w:hAnsi="Times New Roman Regular" w:cs="Times New Roman Regular"/>
                <w:color w:val="0D0D0D"/>
                <w:kern w:val="0"/>
                <w:sz w:val="24"/>
                <w:szCs w:val="24"/>
              </w:rPr>
            </w:pPr>
            <w:r w:rsidRPr="00993048">
              <w:rPr>
                <w:rFonts w:eastAsia="宋体"/>
                <w:color w:val="0D0D0D"/>
                <w:kern w:val="0"/>
                <w:sz w:val="24"/>
                <w:szCs w:val="24"/>
              </w:rPr>
              <w:t>SBR</w:t>
            </w:r>
          </w:p>
        </w:tc>
        <w:tc>
          <w:tcPr>
            <w:tcW w:w="860" w:type="pct"/>
            <w:vAlign w:val="center"/>
          </w:tcPr>
          <w:p w:rsidR="00B373FD">
            <w:pPr>
              <w:widowControl/>
              <w:adjustRightInd w:val="0"/>
              <w:jc w:val="center"/>
              <w:rPr>
                <w:rFonts w:ascii="Times New Roman Regular" w:eastAsia="宋体" w:hAnsi="Times New Roman Regular" w:cs="Times New Roman Regular"/>
                <w:color w:val="0D0D0D"/>
                <w:kern w:val="0"/>
                <w:sz w:val="24"/>
                <w:szCs w:val="24"/>
              </w:rPr>
            </w:pPr>
            <w:r>
              <w:rPr>
                <w:rFonts w:ascii="Times New Roman Regular" w:eastAsia="宋体" w:hAnsi="Times New Roman Regular" w:cs="Times New Roman Regular"/>
                <w:color w:val="0D0D0D"/>
                <w:kern w:val="0"/>
                <w:sz w:val="24"/>
                <w:szCs w:val="24"/>
              </w:rPr>
              <w:t>戚浦河</w:t>
            </w:r>
          </w:p>
        </w:tc>
      </w:tr>
      <w:tr>
        <w:tblPrEx>
          <w:tblW w:w="5000" w:type="pct"/>
          <w:jc w:val="center"/>
          <w:tblLayout w:type="fixed"/>
          <w:tblLook w:val="04A0"/>
        </w:tblPrEx>
        <w:trPr>
          <w:trHeight w:hRule="exact" w:val="510"/>
          <w:jc w:val="center"/>
        </w:trPr>
        <w:tc>
          <w:tcPr>
            <w:tcW w:w="544" w:type="pct"/>
            <w:vAlign w:val="center"/>
          </w:tcPr>
          <w:p w:rsidR="00B373FD">
            <w:pPr>
              <w:widowControl/>
              <w:adjustRightInd w:val="0"/>
              <w:jc w:val="center"/>
              <w:rPr>
                <w:rFonts w:ascii="Times New Roman Regular" w:eastAsia="宋体" w:hAnsi="Times New Roman Regular" w:cs="Times New Roman Regular"/>
                <w:color w:val="0D0D0D"/>
                <w:kern w:val="0"/>
                <w:sz w:val="24"/>
                <w:szCs w:val="24"/>
              </w:rPr>
            </w:pPr>
            <w:r>
              <w:rPr>
                <w:rFonts w:ascii="Times New Roman Regular" w:eastAsia="宋体" w:hAnsi="Times New Roman Regular" w:cs="Times New Roman Regular"/>
                <w:color w:val="0D0D0D"/>
                <w:kern w:val="0"/>
                <w:sz w:val="24"/>
                <w:szCs w:val="24"/>
              </w:rPr>
              <w:t>8</w:t>
            </w:r>
          </w:p>
        </w:tc>
        <w:tc>
          <w:tcPr>
            <w:tcW w:w="1355" w:type="pct"/>
            <w:vAlign w:val="center"/>
          </w:tcPr>
          <w:p w:rsidR="00B373FD">
            <w:pPr>
              <w:widowControl/>
              <w:adjustRightInd w:val="0"/>
              <w:jc w:val="center"/>
              <w:rPr>
                <w:rFonts w:ascii="Times New Roman Regular" w:eastAsia="宋体" w:hAnsi="Times New Roman Regular" w:cs="Times New Roman Regular"/>
                <w:color w:val="0D0D0D"/>
                <w:kern w:val="0"/>
                <w:sz w:val="24"/>
                <w:szCs w:val="24"/>
              </w:rPr>
            </w:pPr>
            <w:r>
              <w:rPr>
                <w:rFonts w:ascii="Times New Roman Regular" w:eastAsia="宋体" w:hAnsi="Times New Roman Regular" w:cs="Times New Roman Regular"/>
                <w:color w:val="0D0D0D"/>
                <w:kern w:val="0"/>
                <w:sz w:val="24"/>
                <w:szCs w:val="24"/>
              </w:rPr>
              <w:t>岳王污水处理厂</w:t>
            </w:r>
          </w:p>
        </w:tc>
        <w:tc>
          <w:tcPr>
            <w:tcW w:w="1460" w:type="pct"/>
            <w:vAlign w:val="center"/>
          </w:tcPr>
          <w:p w:rsidR="00B373FD">
            <w:pPr>
              <w:widowControl/>
              <w:adjustRightInd w:val="0"/>
              <w:jc w:val="center"/>
              <w:rPr>
                <w:rFonts w:ascii="Times New Roman Regular" w:eastAsia="宋体" w:hAnsi="Times New Roman Regular" w:cs="Times New Roman Regular"/>
                <w:color w:val="0D0D0D"/>
                <w:kern w:val="0"/>
                <w:sz w:val="24"/>
                <w:szCs w:val="24"/>
              </w:rPr>
            </w:pPr>
            <w:r>
              <w:rPr>
                <w:rFonts w:ascii="Times New Roman Regular" w:eastAsia="宋体" w:hAnsi="Times New Roman Regular" w:cs="Times New Roman Regular"/>
                <w:color w:val="0D0D0D"/>
                <w:kern w:val="0"/>
                <w:sz w:val="24"/>
                <w:szCs w:val="24"/>
              </w:rPr>
              <w:t>1</w:t>
            </w:r>
          </w:p>
        </w:tc>
        <w:tc>
          <w:tcPr>
            <w:tcW w:w="777" w:type="pct"/>
            <w:vAlign w:val="center"/>
          </w:tcPr>
          <w:p w:rsidR="00B373FD">
            <w:pPr>
              <w:widowControl/>
              <w:adjustRightInd w:val="0"/>
              <w:jc w:val="center"/>
              <w:rPr>
                <w:rFonts w:ascii="Times New Roman Regular" w:eastAsia="宋体" w:hAnsi="Times New Roman Regular" w:cs="Times New Roman Regular"/>
                <w:color w:val="0D0D0D"/>
                <w:kern w:val="0"/>
                <w:sz w:val="24"/>
                <w:szCs w:val="24"/>
              </w:rPr>
            </w:pPr>
            <w:r>
              <w:rPr>
                <w:rFonts w:ascii="Times New Roman Regular" w:eastAsia="宋体" w:hAnsi="Times New Roman Regular" w:cs="Times New Roman Regular"/>
                <w:color w:val="0D0D0D"/>
                <w:kern w:val="0"/>
                <w:sz w:val="24"/>
                <w:szCs w:val="24"/>
              </w:rPr>
              <w:t>氧化沟</w:t>
            </w:r>
          </w:p>
        </w:tc>
        <w:tc>
          <w:tcPr>
            <w:tcW w:w="860" w:type="pct"/>
            <w:vAlign w:val="center"/>
          </w:tcPr>
          <w:p w:rsidR="00B373FD">
            <w:pPr>
              <w:widowControl/>
              <w:adjustRightInd w:val="0"/>
              <w:jc w:val="center"/>
              <w:rPr>
                <w:rFonts w:ascii="Times New Roman Regular" w:eastAsia="宋体" w:hAnsi="Times New Roman Regular" w:cs="Times New Roman Regular"/>
                <w:color w:val="0D0D0D"/>
                <w:kern w:val="0"/>
                <w:sz w:val="24"/>
                <w:szCs w:val="24"/>
              </w:rPr>
            </w:pPr>
            <w:r>
              <w:rPr>
                <w:rFonts w:ascii="Times New Roman Regular" w:eastAsia="宋体" w:hAnsi="Times New Roman Regular" w:cs="Times New Roman Regular"/>
                <w:color w:val="0D0D0D"/>
                <w:kern w:val="0"/>
                <w:sz w:val="24"/>
                <w:szCs w:val="24"/>
              </w:rPr>
              <w:t>杨林塘</w:t>
            </w:r>
          </w:p>
        </w:tc>
      </w:tr>
      <w:tr>
        <w:tblPrEx>
          <w:tblW w:w="5000" w:type="pct"/>
          <w:jc w:val="center"/>
          <w:tblLayout w:type="fixed"/>
          <w:tblLook w:val="04A0"/>
        </w:tblPrEx>
        <w:trPr>
          <w:trHeight w:hRule="exact" w:val="510"/>
          <w:jc w:val="center"/>
        </w:trPr>
        <w:tc>
          <w:tcPr>
            <w:tcW w:w="544" w:type="pct"/>
            <w:vAlign w:val="center"/>
          </w:tcPr>
          <w:p w:rsidR="00B373FD">
            <w:pPr>
              <w:widowControl/>
              <w:adjustRightInd w:val="0"/>
              <w:jc w:val="center"/>
              <w:rPr>
                <w:rFonts w:ascii="Times New Roman Regular" w:eastAsia="宋体" w:hAnsi="Times New Roman Regular" w:cs="Times New Roman Regular"/>
                <w:color w:val="0D0D0D"/>
                <w:kern w:val="0"/>
                <w:sz w:val="24"/>
                <w:szCs w:val="24"/>
              </w:rPr>
            </w:pPr>
            <w:r>
              <w:rPr>
                <w:rFonts w:ascii="Times New Roman Regular" w:eastAsia="宋体" w:hAnsi="Times New Roman Regular" w:cs="Times New Roman Regular"/>
                <w:color w:val="0D0D0D"/>
                <w:kern w:val="0"/>
                <w:sz w:val="24"/>
                <w:szCs w:val="24"/>
              </w:rPr>
              <w:t>9</w:t>
            </w:r>
          </w:p>
        </w:tc>
        <w:tc>
          <w:tcPr>
            <w:tcW w:w="1355" w:type="pct"/>
            <w:vAlign w:val="center"/>
          </w:tcPr>
          <w:p w:rsidR="00B373FD">
            <w:pPr>
              <w:widowControl/>
              <w:adjustRightInd w:val="0"/>
              <w:jc w:val="center"/>
              <w:rPr>
                <w:rFonts w:ascii="Times New Roman Regular" w:eastAsia="宋体" w:hAnsi="Times New Roman Regular" w:cs="Times New Roman Regular"/>
                <w:color w:val="0D0D0D"/>
                <w:kern w:val="0"/>
                <w:sz w:val="24"/>
                <w:szCs w:val="24"/>
              </w:rPr>
            </w:pPr>
            <w:r>
              <w:rPr>
                <w:rFonts w:ascii="Times New Roman Regular" w:eastAsia="宋体" w:hAnsi="Times New Roman Regular" w:cs="Times New Roman Regular"/>
                <w:color w:val="0D0D0D"/>
                <w:kern w:val="0"/>
                <w:sz w:val="24"/>
                <w:szCs w:val="24"/>
              </w:rPr>
              <w:t>浏河污水处理厂</w:t>
            </w:r>
          </w:p>
        </w:tc>
        <w:tc>
          <w:tcPr>
            <w:tcW w:w="1460" w:type="pct"/>
            <w:vAlign w:val="center"/>
          </w:tcPr>
          <w:p w:rsidR="00B373FD">
            <w:pPr>
              <w:widowControl/>
              <w:adjustRightInd w:val="0"/>
              <w:jc w:val="center"/>
              <w:rPr>
                <w:rFonts w:ascii="Times New Roman Regular" w:eastAsia="宋体" w:hAnsi="Times New Roman Regular" w:cs="Times New Roman Regular"/>
                <w:color w:val="0D0D0D"/>
                <w:kern w:val="0"/>
                <w:sz w:val="24"/>
                <w:szCs w:val="24"/>
              </w:rPr>
            </w:pPr>
            <w:r>
              <w:rPr>
                <w:rFonts w:ascii="Times New Roman Regular" w:eastAsia="宋体" w:hAnsi="Times New Roman Regular" w:cs="Times New Roman Regular"/>
                <w:color w:val="0D0D0D"/>
                <w:kern w:val="0"/>
                <w:sz w:val="24"/>
                <w:szCs w:val="24"/>
              </w:rPr>
              <w:t>3</w:t>
            </w:r>
          </w:p>
        </w:tc>
        <w:tc>
          <w:tcPr>
            <w:tcW w:w="777" w:type="pct"/>
            <w:vAlign w:val="center"/>
          </w:tcPr>
          <w:p w:rsidR="00B373FD">
            <w:pPr>
              <w:widowControl/>
              <w:adjustRightInd w:val="0"/>
              <w:jc w:val="center"/>
              <w:rPr>
                <w:rFonts w:ascii="Times New Roman Regular" w:eastAsia="宋体" w:hAnsi="Times New Roman Regular" w:cs="Times New Roman Regular"/>
                <w:color w:val="0D0D0D"/>
                <w:kern w:val="0"/>
                <w:sz w:val="24"/>
                <w:szCs w:val="24"/>
              </w:rPr>
            </w:pPr>
            <w:r>
              <w:rPr>
                <w:rFonts w:ascii="Times New Roman Regular" w:eastAsia="宋体" w:hAnsi="Times New Roman Regular" w:cs="Times New Roman Regular"/>
                <w:color w:val="0D0D0D"/>
                <w:kern w:val="0"/>
                <w:sz w:val="24"/>
                <w:szCs w:val="24"/>
              </w:rPr>
              <w:t>氧化沟</w:t>
            </w:r>
          </w:p>
        </w:tc>
        <w:tc>
          <w:tcPr>
            <w:tcW w:w="860" w:type="pct"/>
            <w:vAlign w:val="center"/>
          </w:tcPr>
          <w:p w:rsidR="00B373FD">
            <w:pPr>
              <w:widowControl/>
              <w:adjustRightInd w:val="0"/>
              <w:jc w:val="center"/>
              <w:rPr>
                <w:rFonts w:ascii="Times New Roman Regular" w:eastAsia="宋体" w:hAnsi="Times New Roman Regular" w:cs="Times New Roman Regular"/>
                <w:color w:val="0D0D0D"/>
                <w:kern w:val="0"/>
                <w:sz w:val="24"/>
                <w:szCs w:val="24"/>
              </w:rPr>
            </w:pPr>
            <w:r>
              <w:rPr>
                <w:rFonts w:ascii="Times New Roman Regular" w:eastAsia="宋体" w:hAnsi="Times New Roman Regular" w:cs="Times New Roman Regular"/>
                <w:color w:val="0D0D0D"/>
                <w:kern w:val="0"/>
                <w:sz w:val="24"/>
                <w:szCs w:val="24"/>
              </w:rPr>
              <w:t>新浏河</w:t>
            </w:r>
          </w:p>
        </w:tc>
      </w:tr>
    </w:tbl>
    <w:p w:rsidR="00B373FD">
      <w:pPr>
        <w:pStyle w:val="Heading3"/>
        <w:numPr>
          <w:ilvl w:val="2"/>
          <w:numId w:val="4"/>
        </w:numPr>
        <w:rPr>
          <w:rFonts w:ascii="Times New Roman Regular" w:hAnsi="Times New Roman Regular" w:cs="Times New Roman Regular"/>
        </w:rPr>
      </w:pPr>
      <w:r>
        <w:rPr>
          <w:rFonts w:ascii="Times New Roman Regular" w:hAnsi="Times New Roman Regular" w:cs="Times New Roman Regular"/>
        </w:rPr>
        <w:t>垃圾收运处置设施</w:t>
      </w:r>
    </w:p>
    <w:p w:rsidR="00B373FD">
      <w:pPr>
        <w:adjustRightInd w:val="0"/>
        <w:snapToGrid w:val="0"/>
        <w:ind w:firstLine="640" w:firstLineChars="200"/>
        <w:rPr>
          <w:rFonts w:ascii="Times New Roman Regular" w:hAnsi="Times New Roman Regular" w:cs="Times New Roman Regular"/>
        </w:rPr>
      </w:pPr>
      <w:r>
        <w:rPr>
          <w:rFonts w:ascii="Times New Roman Regular" w:hAnsi="Times New Roman Regular" w:cs="Times New Roman Regular"/>
        </w:rPr>
        <w:t>再生资源综合利用项目和建筑垃圾资源化利用项目有序推进，建成并运营建筑装潢垃圾临时处置项目，处理规模为</w:t>
      </w:r>
      <w:r>
        <w:rPr>
          <w:rFonts w:ascii="Times New Roman Regular" w:hAnsi="Times New Roman Regular" w:cs="Times New Roman Regular"/>
        </w:rPr>
        <w:t>2000</w:t>
      </w:r>
      <w:r>
        <w:rPr>
          <w:rFonts w:ascii="Times New Roman Regular" w:hAnsi="Times New Roman Regular" w:cs="Times New Roman Regular"/>
        </w:rPr>
        <w:t>吨</w:t>
      </w:r>
      <w:r>
        <w:rPr>
          <w:rFonts w:ascii="Times New Roman Regular" w:hAnsi="Times New Roman Regular" w:cs="Times New Roman Regular"/>
        </w:rPr>
        <w:t>/</w:t>
      </w:r>
      <w:r>
        <w:rPr>
          <w:rFonts w:ascii="Times New Roman Regular" w:hAnsi="Times New Roman Regular" w:cs="Times New Roman Regular"/>
        </w:rPr>
        <w:t>日，餐厨垃圾无害化处理厂、有机易腐垃圾处理项目等垃圾终端处置设施平稳运行，处理规模为</w:t>
      </w:r>
      <w:r>
        <w:rPr>
          <w:rFonts w:ascii="Times New Roman Regular" w:hAnsi="Times New Roman Regular" w:cs="Times New Roman Regular"/>
        </w:rPr>
        <w:t>90</w:t>
      </w:r>
      <w:r>
        <w:rPr>
          <w:rFonts w:ascii="Times New Roman Regular" w:hAnsi="Times New Roman Regular" w:cs="Times New Roman Regular"/>
        </w:rPr>
        <w:t>吨</w:t>
      </w:r>
      <w:r>
        <w:rPr>
          <w:rFonts w:ascii="Times New Roman Regular" w:hAnsi="Times New Roman Regular" w:cs="Times New Roman Regular"/>
        </w:rPr>
        <w:t>/</w:t>
      </w:r>
      <w:r>
        <w:rPr>
          <w:rFonts w:ascii="Times New Roman Regular" w:hAnsi="Times New Roman Regular" w:cs="Times New Roman Regular"/>
        </w:rPr>
        <w:t>日。目前，全市生活垃圾主要采用焚烧处置方式，由于协鑫发电厂设计规模尚不能满足需求，仍有部分生活垃圾需要外运至嘉定焚烧厂处置，餐厨垃圾运送至太仓蓝德环保技术有限公司进行</w:t>
      </w:r>
      <w:r>
        <w:rPr>
          <w:rFonts w:ascii="Times New Roman Regular" w:hAnsi="Times New Roman Regular" w:cs="Times New Roman Regular"/>
        </w:rPr>
        <w:t>OWS</w:t>
      </w:r>
      <w:r>
        <w:rPr>
          <w:rFonts w:ascii="Times New Roman Regular" w:hAnsi="Times New Roman Regular" w:cs="Times New Roman Regular"/>
        </w:rPr>
        <w:t>厌氧发酵处理。</w:t>
      </w:r>
    </w:p>
    <w:p w:rsidR="00B373FD">
      <w:pPr>
        <w:rPr>
          <w:rFonts w:ascii="Times New Roman Regular" w:hAnsi="Times New Roman Regular" w:cs="Times New Roman Regular"/>
        </w:rPr>
        <w:sectPr>
          <w:headerReference w:type="even" r:id="rId34"/>
          <w:headerReference w:type="default" r:id="rId35"/>
          <w:footerReference w:type="default" r:id="rId36"/>
          <w:headerReference w:type="first" r:id="rId37"/>
          <w:pgSz w:w="11906" w:h="16838"/>
          <w:pgMar w:top="1440" w:right="1800" w:bottom="1440" w:left="1800" w:header="851" w:footer="992" w:gutter="0"/>
          <w:cols w:space="720"/>
          <w:docGrid w:type="lines" w:linePitch="312"/>
        </w:sectPr>
      </w:pPr>
    </w:p>
    <w:p w:rsidR="00B373FD">
      <w:pPr>
        <w:pStyle w:val="Heading1"/>
        <w:numPr>
          <w:ilvl w:val="0"/>
          <w:numId w:val="4"/>
        </w:numPr>
        <w:spacing w:before="156" w:after="156"/>
        <w:rPr>
          <w:rFonts w:ascii="Times New Roman Regular" w:hAnsi="Times New Roman Regular" w:cs="Times New Roman Regular"/>
        </w:rPr>
      </w:pPr>
      <w:bookmarkStart w:id="30" w:name="_Toc77862691"/>
      <w:r>
        <w:rPr>
          <w:rFonts w:ascii="Times New Roman Regular" w:hAnsi="Times New Roman Regular" w:cs="Times New Roman Regular"/>
        </w:rPr>
        <w:t>“</w:t>
      </w:r>
      <w:r>
        <w:rPr>
          <w:rFonts w:ascii="Times New Roman Regular" w:hAnsi="Times New Roman Regular" w:cs="Times New Roman Regular"/>
        </w:rPr>
        <w:t>十三五</w:t>
      </w:r>
      <w:r>
        <w:rPr>
          <w:rFonts w:ascii="Times New Roman Regular" w:hAnsi="Times New Roman Regular" w:cs="Times New Roman Regular"/>
        </w:rPr>
        <w:t>”</w:t>
      </w:r>
      <w:r>
        <w:rPr>
          <w:rFonts w:ascii="Times New Roman Regular" w:hAnsi="Times New Roman Regular" w:cs="Times New Roman Regular"/>
        </w:rPr>
        <w:t>生态环境保护工作回顾</w:t>
      </w:r>
      <w:bookmarkEnd w:id="30"/>
    </w:p>
    <w:p w:rsidR="00B373FD">
      <w:pPr>
        <w:pStyle w:val="Heading2"/>
        <w:numPr>
          <w:ilvl w:val="1"/>
          <w:numId w:val="4"/>
        </w:numPr>
        <w:spacing w:before="156" w:after="156"/>
        <w:rPr>
          <w:rFonts w:ascii="Times New Roman Regular" w:hAnsi="Times New Roman Regular" w:cs="Times New Roman Regular"/>
        </w:rPr>
      </w:pPr>
      <w:bookmarkStart w:id="31" w:name="_Toc77862692"/>
      <w:r>
        <w:rPr>
          <w:rFonts w:ascii="Times New Roman Regular" w:hAnsi="Times New Roman Regular" w:cs="Times New Roman Regular"/>
        </w:rPr>
        <w:t>生态环境保护工作取得的成效</w:t>
      </w:r>
      <w:bookmarkEnd w:id="31"/>
    </w:p>
    <w:p w:rsidR="00B373FD">
      <w:pPr>
        <w:pStyle w:val="Heading3"/>
        <w:numPr>
          <w:ilvl w:val="2"/>
          <w:numId w:val="4"/>
        </w:numPr>
        <w:rPr>
          <w:rFonts w:ascii="Times New Roman Regular" w:hAnsi="Times New Roman Regular" w:cs="Times New Roman Regular"/>
        </w:rPr>
      </w:pPr>
      <w:r>
        <w:rPr>
          <w:rFonts w:ascii="Times New Roman Regular" w:hAnsi="Times New Roman Regular" w:cs="Times New Roman Regular"/>
        </w:rPr>
        <w:t>绿色低碳发展卓有成效</w:t>
      </w:r>
    </w:p>
    <w:p w:rsidR="00B373FD" w:rsidRPr="003A7253">
      <w:pPr>
        <w:adjustRightInd w:val="0"/>
        <w:snapToGrid w:val="0"/>
        <w:ind w:firstLine="640" w:firstLineChars="200"/>
        <w:rPr>
          <w:szCs w:val="32"/>
        </w:rPr>
      </w:pPr>
      <w:r>
        <w:rPr>
          <w:b/>
          <w:szCs w:val="32"/>
        </w:rPr>
        <w:t>推进绿色化改造。</w:t>
      </w:r>
      <w:r w:rsidR="003A7253">
        <w:rPr>
          <w:szCs w:val="32"/>
        </w:rPr>
        <w:t>大力支持企业应用先进适用技术，</w:t>
      </w:r>
      <w:r w:rsidR="003A7253">
        <w:rPr>
          <w:szCs w:val="32"/>
        </w:rPr>
        <w:t>“</w:t>
      </w:r>
      <w:r w:rsidR="003A7253">
        <w:rPr>
          <w:szCs w:val="32"/>
        </w:rPr>
        <w:t>十三五</w:t>
      </w:r>
      <w:r w:rsidR="003A7253">
        <w:rPr>
          <w:szCs w:val="32"/>
        </w:rPr>
        <w:t>”</w:t>
      </w:r>
      <w:r w:rsidR="003A7253">
        <w:rPr>
          <w:szCs w:val="32"/>
        </w:rPr>
        <w:t>期间累计开展节能和绿色化改造项目达到</w:t>
      </w:r>
      <w:r w:rsidR="003A7253">
        <w:rPr>
          <w:szCs w:val="32"/>
        </w:rPr>
        <w:t>100</w:t>
      </w:r>
      <w:r w:rsidR="003A7253">
        <w:rPr>
          <w:szCs w:val="32"/>
        </w:rPr>
        <w:t>项，投入资金达到</w:t>
      </w:r>
      <w:r w:rsidR="003A7253">
        <w:rPr>
          <w:szCs w:val="32"/>
        </w:rPr>
        <w:t>10</w:t>
      </w:r>
      <w:r w:rsidR="003A7253">
        <w:rPr>
          <w:szCs w:val="32"/>
        </w:rPr>
        <w:t>亿元，合计年新增节能能力</w:t>
      </w:r>
      <w:r w:rsidR="003A7253">
        <w:rPr>
          <w:szCs w:val="32"/>
        </w:rPr>
        <w:t>15</w:t>
      </w:r>
      <w:r w:rsidR="003A7253">
        <w:rPr>
          <w:szCs w:val="32"/>
        </w:rPr>
        <w:t>万吨标准煤</w:t>
      </w:r>
      <w:r w:rsidR="003A7253">
        <w:rPr>
          <w:rFonts w:hint="eastAsia"/>
          <w:szCs w:val="32"/>
        </w:rPr>
        <w:t>。</w:t>
      </w:r>
      <w:r w:rsidR="003A7253">
        <w:rPr>
          <w:szCs w:val="32"/>
        </w:rPr>
        <w:t>“</w:t>
      </w:r>
      <w:r w:rsidR="003A7253">
        <w:rPr>
          <w:szCs w:val="32"/>
        </w:rPr>
        <w:t>十三五</w:t>
      </w:r>
      <w:r w:rsidR="003A7253">
        <w:rPr>
          <w:szCs w:val="32"/>
        </w:rPr>
        <w:t>”</w:t>
      </w:r>
      <w:r w:rsidR="003A7253">
        <w:rPr>
          <w:szCs w:val="32"/>
        </w:rPr>
        <w:t>期间累计关停化工企业</w:t>
      </w:r>
      <w:r w:rsidR="003A7253">
        <w:rPr>
          <w:rFonts w:hint="eastAsia"/>
          <w:szCs w:val="32"/>
        </w:rPr>
        <w:t>10</w:t>
      </w:r>
      <w:r w:rsidR="003A7253">
        <w:rPr>
          <w:szCs w:val="32"/>
        </w:rPr>
        <w:t>1</w:t>
      </w:r>
      <w:r w:rsidR="003A7253">
        <w:rPr>
          <w:szCs w:val="32"/>
        </w:rPr>
        <w:t>家，严格排查淘汰低端低效产能企业，累计关停</w:t>
      </w:r>
      <w:r w:rsidR="003A7253">
        <w:rPr>
          <w:szCs w:val="32"/>
        </w:rPr>
        <w:t>621</w:t>
      </w:r>
      <w:r w:rsidR="003A7253">
        <w:rPr>
          <w:szCs w:val="32"/>
        </w:rPr>
        <w:t>家。资源利用效率显著提高，</w:t>
      </w:r>
      <w:r w:rsidR="003A7253">
        <w:rPr>
          <w:szCs w:val="32"/>
        </w:rPr>
        <w:t>2020</w:t>
      </w:r>
      <w:r w:rsidR="003A7253">
        <w:rPr>
          <w:szCs w:val="32"/>
        </w:rPr>
        <w:t>年全市单位</w:t>
      </w:r>
      <w:r w:rsidR="003A7253">
        <w:rPr>
          <w:szCs w:val="32"/>
        </w:rPr>
        <w:t>GDP</w:t>
      </w:r>
      <w:r w:rsidR="003A7253">
        <w:rPr>
          <w:szCs w:val="32"/>
        </w:rPr>
        <w:t>能耗完成苏州下达的下降</w:t>
      </w:r>
      <w:r w:rsidR="003A7253">
        <w:rPr>
          <w:szCs w:val="32"/>
        </w:rPr>
        <w:t>3.9%</w:t>
      </w:r>
      <w:r w:rsidR="003A7253">
        <w:rPr>
          <w:szCs w:val="32"/>
        </w:rPr>
        <w:t>目标任务，完成</w:t>
      </w:r>
      <w:r w:rsidR="003A7253">
        <w:rPr>
          <w:szCs w:val="32"/>
        </w:rPr>
        <w:t>“</w:t>
      </w:r>
      <w:r w:rsidR="003A7253">
        <w:rPr>
          <w:szCs w:val="32"/>
        </w:rPr>
        <w:t>十三五</w:t>
      </w:r>
      <w:r w:rsidR="003A7253">
        <w:rPr>
          <w:szCs w:val="32"/>
        </w:rPr>
        <w:t>”</w:t>
      </w:r>
      <w:r w:rsidR="003A7253">
        <w:rPr>
          <w:szCs w:val="32"/>
        </w:rPr>
        <w:t>单位</w:t>
      </w:r>
      <w:r w:rsidR="003A7253">
        <w:rPr>
          <w:szCs w:val="32"/>
        </w:rPr>
        <w:t>GDP</w:t>
      </w:r>
      <w:r w:rsidR="003A7253">
        <w:rPr>
          <w:szCs w:val="32"/>
        </w:rPr>
        <w:t>能耗下降</w:t>
      </w:r>
      <w:r w:rsidR="003A7253">
        <w:rPr>
          <w:szCs w:val="32"/>
        </w:rPr>
        <w:t>18%</w:t>
      </w:r>
      <w:r w:rsidR="003A7253">
        <w:rPr>
          <w:szCs w:val="32"/>
        </w:rPr>
        <w:t>的目标任务。</w:t>
      </w:r>
    </w:p>
    <w:p w:rsidR="00B373FD" w:rsidRPr="003A7253">
      <w:pPr>
        <w:adjustRightInd w:val="0"/>
        <w:snapToGrid w:val="0"/>
        <w:ind w:firstLine="640" w:firstLineChars="200"/>
        <w:rPr>
          <w:szCs w:val="32"/>
        </w:rPr>
      </w:pPr>
      <w:r>
        <w:rPr>
          <w:b/>
          <w:szCs w:val="32"/>
        </w:rPr>
        <w:t>加速绿色产业集聚。</w:t>
      </w:r>
      <w:r w:rsidR="003A7253">
        <w:rPr>
          <w:szCs w:val="32"/>
        </w:rPr>
        <w:t>“</w:t>
      </w:r>
      <w:r w:rsidR="003A7253">
        <w:rPr>
          <w:szCs w:val="32"/>
        </w:rPr>
        <w:t>十三五</w:t>
      </w:r>
      <w:r w:rsidR="003A7253">
        <w:rPr>
          <w:szCs w:val="32"/>
        </w:rPr>
        <w:t>”</w:t>
      </w:r>
      <w:r w:rsidR="003A7253">
        <w:rPr>
          <w:szCs w:val="32"/>
        </w:rPr>
        <w:t>期间，全市服务业集聚态势日益明显，生产性服务业、生活性服务业、生态型服务业协同发展，以现代物流、电子竞技、研发设计、商务服务、生物医药为主要业态的服务业产业集聚发展，太仓物流园获评省级示范物流园区、省生产性服务业集聚区。</w:t>
      </w:r>
      <w:r w:rsidR="003A7253">
        <w:rPr>
          <w:szCs w:val="32"/>
        </w:rPr>
        <w:t>2016-2020</w:t>
      </w:r>
      <w:r w:rsidR="003A7253">
        <w:rPr>
          <w:szCs w:val="32"/>
        </w:rPr>
        <w:t>年，服务业增加值从</w:t>
      </w:r>
      <w:r w:rsidR="003A7253">
        <w:rPr>
          <w:szCs w:val="32"/>
        </w:rPr>
        <w:t>534.50</w:t>
      </w:r>
      <w:r w:rsidR="003A7253">
        <w:rPr>
          <w:szCs w:val="32"/>
        </w:rPr>
        <w:t>亿元提高至</w:t>
      </w:r>
      <w:r w:rsidR="003A7253">
        <w:rPr>
          <w:szCs w:val="32"/>
        </w:rPr>
        <w:t>692.60</w:t>
      </w:r>
      <w:r w:rsidR="003A7253">
        <w:rPr>
          <w:szCs w:val="32"/>
        </w:rPr>
        <w:t>亿元。</w:t>
      </w:r>
      <w:r w:rsidR="003A7253">
        <w:rPr>
          <w:rFonts w:hint="eastAsia"/>
          <w:szCs w:val="32"/>
        </w:rPr>
        <w:t>产业结构实现由“二三一”向“三二一”转变。</w:t>
      </w:r>
    </w:p>
    <w:p w:rsidR="00B373FD">
      <w:pPr>
        <w:snapToGrid w:val="0"/>
        <w:ind w:firstLine="640" w:firstLineChars="200"/>
        <w:rPr>
          <w:b/>
          <w:szCs w:val="32"/>
        </w:rPr>
      </w:pPr>
      <w:r>
        <w:rPr>
          <w:b/>
          <w:szCs w:val="32"/>
        </w:rPr>
        <w:t>严把环境准入关。</w:t>
      </w:r>
      <w:r w:rsidRPr="003A7253" w:rsidR="003A7253">
        <w:rPr>
          <w:rFonts w:hint="eastAsia"/>
          <w:szCs w:val="32"/>
        </w:rPr>
        <w:t>落实“三线一单”生态环境分区管控，落实产业园区规划环评制度，把环境容量作为项目引进的重要依据，把环境准入作为项目取舍的重要标准，严把产业政策关、资源消耗关、环境保护关，实现产业项目好中选优。对于所在区域环境质量超标的园区，落实污染防治方案，并根据环境质量改善目标，针对超标因子涉及的行业、工艺、</w:t>
      </w:r>
      <w:r w:rsidRPr="003A7253" w:rsidR="003A7253">
        <w:rPr>
          <w:rFonts w:hint="eastAsia"/>
          <w:szCs w:val="32"/>
        </w:rPr>
        <w:t>产品等，实施更加严格的环境准入要求。严格把好新增氮、磷排放项目的环评审批关，实施磷、氮等重点水污染物年排放总量减量替代。</w:t>
      </w:r>
    </w:p>
    <w:p w:rsidR="00B373FD">
      <w:pPr>
        <w:pStyle w:val="Heading3"/>
        <w:numPr>
          <w:ilvl w:val="2"/>
          <w:numId w:val="4"/>
        </w:numPr>
        <w:rPr>
          <w:rFonts w:ascii="Times New Roman Regular" w:hAnsi="Times New Roman Regular" w:cs="Times New Roman Regular"/>
        </w:rPr>
      </w:pPr>
      <w:r>
        <w:rPr>
          <w:rFonts w:ascii="Times New Roman Regular" w:hAnsi="Times New Roman Regular" w:cs="Times New Roman Regular"/>
        </w:rPr>
        <w:t>环境污染防治稳步推进</w:t>
      </w:r>
    </w:p>
    <w:p w:rsidR="00B373FD">
      <w:pPr>
        <w:adjustRightInd w:val="0"/>
        <w:snapToGrid w:val="0"/>
        <w:ind w:firstLine="640" w:firstLineChars="200"/>
        <w:rPr>
          <w:rFonts w:ascii="Times New Roman Regular" w:eastAsia="楷体_GB2312" w:hAnsi="Times New Roman Regular" w:cs="Times New Roman Regular"/>
          <w:b/>
        </w:rPr>
      </w:pPr>
      <w:r>
        <w:rPr>
          <w:rFonts w:ascii="Times New Roman Regular" w:eastAsia="楷体_GB2312" w:hAnsi="Times New Roman Regular" w:cs="Times New Roman Regular"/>
          <w:b/>
        </w:rPr>
        <w:t>（</w:t>
      </w:r>
      <w:r>
        <w:rPr>
          <w:rFonts w:ascii="Times New Roman Regular" w:eastAsia="楷体_GB2312" w:hAnsi="Times New Roman Regular" w:cs="Times New Roman Regular"/>
          <w:b/>
        </w:rPr>
        <w:t>1</w:t>
      </w:r>
      <w:r>
        <w:rPr>
          <w:rFonts w:ascii="Times New Roman Regular" w:eastAsia="楷体_GB2312" w:hAnsi="Times New Roman Regular" w:cs="Times New Roman Regular"/>
          <w:b/>
        </w:rPr>
        <w:t>）加强大气污染防治</w:t>
      </w:r>
    </w:p>
    <w:p w:rsidR="00B373FD">
      <w:pPr>
        <w:adjustRightInd w:val="0"/>
        <w:snapToGrid w:val="0"/>
        <w:ind w:firstLine="640" w:firstLineChars="200"/>
        <w:rPr>
          <w:szCs w:val="32"/>
        </w:rPr>
      </w:pPr>
      <w:r>
        <w:rPr>
          <w:b/>
          <w:szCs w:val="32"/>
        </w:rPr>
        <w:t>严控煤炭消费总量。</w:t>
      </w:r>
      <w:r>
        <w:rPr>
          <w:szCs w:val="32"/>
        </w:rPr>
        <w:t>积极发展清洁能源，深入推进减煤工作，全面淘汰</w:t>
      </w:r>
      <w:r>
        <w:rPr>
          <w:szCs w:val="32"/>
        </w:rPr>
        <w:t>35</w:t>
      </w:r>
      <w:r>
        <w:rPr>
          <w:szCs w:val="32"/>
        </w:rPr>
        <w:t>蒸吨及以下燃煤锅炉，实现全市</w:t>
      </w:r>
      <w:r>
        <w:rPr>
          <w:szCs w:val="32"/>
        </w:rPr>
        <w:t>30</w:t>
      </w:r>
      <w:r>
        <w:rPr>
          <w:szCs w:val="32"/>
        </w:rPr>
        <w:t>万千瓦以上煤电机组超低排放改造。开展燃煤锅炉整治</w:t>
      </w:r>
      <w:r>
        <w:rPr>
          <w:szCs w:val="32"/>
        </w:rPr>
        <w:t>“</w:t>
      </w:r>
      <w:r>
        <w:rPr>
          <w:szCs w:val="32"/>
        </w:rPr>
        <w:t>回头看</w:t>
      </w:r>
      <w:r>
        <w:rPr>
          <w:szCs w:val="32"/>
        </w:rPr>
        <w:t>”</w:t>
      </w:r>
      <w:r>
        <w:rPr>
          <w:szCs w:val="32"/>
        </w:rPr>
        <w:t>工作，重点排查、监管改用生物质锅炉企业，确保整治到位。</w:t>
      </w:r>
      <w:r>
        <w:rPr>
          <w:szCs w:val="32"/>
        </w:rPr>
        <w:t>2020</w:t>
      </w:r>
      <w:r>
        <w:rPr>
          <w:szCs w:val="32"/>
        </w:rPr>
        <w:t>年</w:t>
      </w:r>
      <w:r>
        <w:rPr>
          <w:rFonts w:hint="eastAsia"/>
          <w:szCs w:val="32"/>
        </w:rPr>
        <w:t>，</w:t>
      </w:r>
      <w:r>
        <w:rPr>
          <w:szCs w:val="32"/>
        </w:rPr>
        <w:t>太仓市已实现</w:t>
      </w:r>
      <w:r>
        <w:rPr>
          <w:szCs w:val="32"/>
        </w:rPr>
        <w:t>“</w:t>
      </w:r>
      <w:r>
        <w:rPr>
          <w:szCs w:val="32"/>
        </w:rPr>
        <w:t>零燃煤</w:t>
      </w:r>
      <w:r>
        <w:rPr>
          <w:szCs w:val="32"/>
        </w:rPr>
        <w:t>”</w:t>
      </w:r>
      <w:r>
        <w:rPr>
          <w:szCs w:val="32"/>
        </w:rPr>
        <w:t>。</w:t>
      </w:r>
    </w:p>
    <w:p w:rsidR="00B373FD">
      <w:pPr>
        <w:adjustRightInd w:val="0"/>
        <w:snapToGrid w:val="0"/>
        <w:ind w:firstLine="640" w:firstLineChars="200"/>
        <w:rPr>
          <w:szCs w:val="32"/>
        </w:rPr>
      </w:pPr>
      <w:r>
        <w:rPr>
          <w:b/>
          <w:szCs w:val="32"/>
        </w:rPr>
        <w:t>强化有机废气整治。</w:t>
      </w:r>
      <w:r>
        <w:rPr>
          <w:szCs w:val="32"/>
        </w:rPr>
        <w:t>推进化工、家具、石油化工、合成树脂、汽修、干洗行业挥发性有机物污染治理工程，完成</w:t>
      </w:r>
      <w:r>
        <w:rPr>
          <w:szCs w:val="32"/>
        </w:rPr>
        <w:t>377</w:t>
      </w:r>
      <w:r>
        <w:rPr>
          <w:szCs w:val="32"/>
        </w:rPr>
        <w:t>家企业有机废气治理，开展无组织排放挥发性有机物收集、处理和整治。完成</w:t>
      </w:r>
      <w:r>
        <w:rPr>
          <w:szCs w:val="32"/>
        </w:rPr>
        <w:t>80</w:t>
      </w:r>
      <w:r>
        <w:rPr>
          <w:szCs w:val="32"/>
        </w:rPr>
        <w:t>家单位实施泄露检测与修复（</w:t>
      </w:r>
      <w:r>
        <w:rPr>
          <w:szCs w:val="32"/>
        </w:rPr>
        <w:t>LDAR</w:t>
      </w:r>
      <w:r>
        <w:rPr>
          <w:szCs w:val="32"/>
        </w:rPr>
        <w:t>），完成化工园区</w:t>
      </w:r>
      <w:r>
        <w:rPr>
          <w:szCs w:val="32"/>
        </w:rPr>
        <w:t>22</w:t>
      </w:r>
      <w:r>
        <w:rPr>
          <w:szCs w:val="32"/>
        </w:rPr>
        <w:t>家企业安装废气在线连续监测系统，全市挥发性有机物削减率达到</w:t>
      </w:r>
      <w:r>
        <w:rPr>
          <w:szCs w:val="32"/>
        </w:rPr>
        <w:t>39%</w:t>
      </w:r>
      <w:r>
        <w:rPr>
          <w:szCs w:val="32"/>
        </w:rPr>
        <w:t>。</w:t>
      </w:r>
    </w:p>
    <w:p w:rsidR="00B373FD">
      <w:pPr>
        <w:adjustRightInd w:val="0"/>
        <w:snapToGrid w:val="0"/>
        <w:ind w:firstLine="640" w:firstLineChars="200"/>
        <w:rPr>
          <w:b/>
          <w:szCs w:val="32"/>
        </w:rPr>
      </w:pPr>
      <w:r>
        <w:rPr>
          <w:b/>
          <w:szCs w:val="32"/>
        </w:rPr>
        <w:t>推进机动车污染防治。</w:t>
      </w:r>
      <w:r>
        <w:rPr>
          <w:szCs w:val="32"/>
        </w:rPr>
        <w:t>淘汰老旧机动车</w:t>
      </w:r>
      <w:r>
        <w:rPr>
          <w:szCs w:val="32"/>
        </w:rPr>
        <w:t>3472</w:t>
      </w:r>
      <w:r>
        <w:rPr>
          <w:szCs w:val="32"/>
        </w:rPr>
        <w:t>辆，淘汰高排放机动车</w:t>
      </w:r>
      <w:r>
        <w:rPr>
          <w:rFonts w:hint="eastAsia"/>
          <w:szCs w:val="32"/>
        </w:rPr>
        <w:t>9020</w:t>
      </w:r>
      <w:r>
        <w:rPr>
          <w:szCs w:val="32"/>
        </w:rPr>
        <w:t>辆，加强对冒黑烟和尾气超标车辆监管，安装机动车遥感遥测系统两套，同时开展柴油车路检，完成抽检</w:t>
      </w:r>
      <w:r>
        <w:rPr>
          <w:szCs w:val="32"/>
        </w:rPr>
        <w:t>561</w:t>
      </w:r>
      <w:r>
        <w:rPr>
          <w:szCs w:val="32"/>
        </w:rPr>
        <w:t>辆。开展非道路移动机械管理，实施非道路移动机械编码登记上牌，完成编码登记</w:t>
      </w:r>
      <w:r>
        <w:rPr>
          <w:szCs w:val="32"/>
        </w:rPr>
        <w:t>5831</w:t>
      </w:r>
      <w:r>
        <w:rPr>
          <w:szCs w:val="32"/>
        </w:rPr>
        <w:t>辆。</w:t>
      </w:r>
    </w:p>
    <w:p w:rsidR="00B373FD">
      <w:pPr>
        <w:pStyle w:val="2018"/>
        <w:spacing w:line="580" w:lineRule="exact"/>
        <w:ind w:left="643" w:firstLine="0"/>
        <w:rPr>
          <w:rFonts w:ascii="Times New Roman Regular" w:eastAsia="楷体_GB2312" w:hAnsi="Times New Roman Regular" w:cs="Times New Roman Regular"/>
          <w:b/>
        </w:rPr>
      </w:pPr>
      <w:r>
        <w:rPr>
          <w:rFonts w:ascii="Times New Roman Regular" w:eastAsia="楷体_GB2312" w:hAnsi="Times New Roman Regular" w:cs="Times New Roman Regular"/>
          <w:b/>
        </w:rPr>
        <w:t>（</w:t>
      </w:r>
      <w:r>
        <w:rPr>
          <w:rFonts w:ascii="Times New Roman Regular" w:eastAsia="楷体_GB2312" w:hAnsi="Times New Roman Regular" w:cs="Times New Roman Regular"/>
          <w:b/>
        </w:rPr>
        <w:t>2</w:t>
      </w:r>
      <w:r>
        <w:rPr>
          <w:rFonts w:ascii="Times New Roman Regular" w:eastAsia="楷体_GB2312" w:hAnsi="Times New Roman Regular" w:cs="Times New Roman Regular"/>
          <w:b/>
        </w:rPr>
        <w:t>）深入开展水污染防治</w:t>
      </w:r>
    </w:p>
    <w:p w:rsidR="003A7253" w:rsidRPr="00EE347B" w:rsidP="003A7253">
      <w:pPr>
        <w:pStyle w:val="2018"/>
        <w:spacing w:line="560" w:lineRule="exact"/>
        <w:rPr>
          <w:rFonts w:eastAsia="仿宋_GB2312"/>
        </w:rPr>
      </w:pPr>
      <w:r w:rsidRPr="00EE347B">
        <w:rPr>
          <w:rFonts w:eastAsia="仿宋_GB2312" w:hint="eastAsia"/>
          <w:b/>
        </w:rPr>
        <w:t>实施河湖综合整治</w:t>
      </w:r>
      <w:r w:rsidRPr="00EE347B">
        <w:rPr>
          <w:rFonts w:eastAsia="仿宋_GB2312"/>
          <w:b/>
        </w:rPr>
        <w:t>。</w:t>
      </w:r>
      <w:r w:rsidRPr="00EE347B">
        <w:rPr>
          <w:rFonts w:eastAsia="仿宋_GB2312"/>
          <w:color w:val="000000"/>
        </w:rPr>
        <w:t>全面落实河（湖）长制、断面长制，推进流域系统治理，实施</w:t>
      </w:r>
      <w:r w:rsidRPr="00EE347B">
        <w:rPr>
          <w:rFonts w:eastAsia="仿宋_GB2312"/>
          <w:color w:val="000000"/>
        </w:rPr>
        <w:t>“</w:t>
      </w:r>
      <w:r w:rsidRPr="00EE347B">
        <w:rPr>
          <w:rFonts w:eastAsia="仿宋_GB2312"/>
          <w:color w:val="000000"/>
        </w:rPr>
        <w:t>一河一策、一断面一方案</w:t>
      </w:r>
      <w:r w:rsidRPr="00EE347B">
        <w:rPr>
          <w:rFonts w:eastAsia="仿宋_GB2312"/>
          <w:color w:val="000000"/>
        </w:rPr>
        <w:t>”</w:t>
      </w:r>
      <w:r w:rsidRPr="00EE347B">
        <w:rPr>
          <w:rFonts w:eastAsia="仿宋_GB2312" w:hint="eastAsia"/>
          <w:color w:val="000000"/>
        </w:rPr>
        <w:t>；</w:t>
      </w:r>
      <w:r w:rsidRPr="00EE347B">
        <w:rPr>
          <w:rFonts w:eastAsia="仿宋_GB2312"/>
        </w:rPr>
        <w:t>做好</w:t>
      </w:r>
      <w:r w:rsidRPr="00EE347B">
        <w:rPr>
          <w:rFonts w:eastAsia="仿宋_GB2312" w:hint="eastAsia"/>
        </w:rPr>
        <w:t>断面</w:t>
      </w:r>
      <w:r w:rsidRPr="00EE347B">
        <w:rPr>
          <w:rFonts w:eastAsia="仿宋_GB2312"/>
        </w:rPr>
        <w:t>水质监测预警，加大水质波动问题排查</w:t>
      </w:r>
      <w:r w:rsidRPr="00EE347B">
        <w:rPr>
          <w:rFonts w:eastAsia="仿宋_GB2312" w:hint="eastAsia"/>
        </w:rPr>
        <w:t>；</w:t>
      </w:r>
      <w:r w:rsidRPr="00EE347B">
        <w:rPr>
          <w:rFonts w:eastAsia="仿宋_GB2312"/>
          <w:color w:val="000000"/>
        </w:rPr>
        <w:t>开展全市河流水环境质量攻坚行动，省考以上断面水质全部达到</w:t>
      </w:r>
      <w:r w:rsidRPr="00EE347B">
        <w:rPr>
          <w:rFonts w:eastAsia="仿宋_GB2312"/>
          <w:color w:val="000000"/>
          <w:spacing w:val="6"/>
        </w:rPr>
        <w:t>Ⅲ</w:t>
      </w:r>
      <w:r w:rsidRPr="00EE347B">
        <w:rPr>
          <w:rFonts w:eastAsia="仿宋_GB2312"/>
          <w:color w:val="000000"/>
        </w:rPr>
        <w:t>类</w:t>
      </w:r>
      <w:r w:rsidRPr="00EE347B">
        <w:rPr>
          <w:rFonts w:eastAsia="仿宋_GB2312" w:hint="eastAsia"/>
          <w:color w:val="000000"/>
        </w:rPr>
        <w:t>；</w:t>
      </w:r>
      <w:r w:rsidRPr="00EE347B">
        <w:rPr>
          <w:rFonts w:eastAsia="仿宋_GB2312"/>
          <w:color w:val="000000"/>
        </w:rPr>
        <w:t>严格落实长江</w:t>
      </w:r>
      <w:r w:rsidRPr="00EE347B">
        <w:rPr>
          <w:rFonts w:eastAsia="仿宋_GB2312"/>
          <w:color w:val="000000"/>
        </w:rPr>
        <w:t>“</w:t>
      </w:r>
      <w:r w:rsidRPr="00EE347B">
        <w:rPr>
          <w:rFonts w:eastAsia="仿宋_GB2312"/>
          <w:color w:val="000000"/>
        </w:rPr>
        <w:t>十年禁渔</w:t>
      </w:r>
      <w:r w:rsidRPr="00EE347B">
        <w:rPr>
          <w:rFonts w:eastAsia="仿宋_GB2312"/>
          <w:color w:val="000000"/>
        </w:rPr>
        <w:t>”</w:t>
      </w:r>
      <w:r w:rsidRPr="00EE347B">
        <w:rPr>
          <w:rFonts w:eastAsia="仿宋_GB2312"/>
          <w:color w:val="000000"/>
        </w:rPr>
        <w:t>，开展入江排污口、入江支流整治</w:t>
      </w:r>
      <w:r w:rsidRPr="00EE347B">
        <w:rPr>
          <w:rFonts w:eastAsia="仿宋_GB2312" w:hint="eastAsia"/>
          <w:color w:val="000000"/>
        </w:rPr>
        <w:t>，</w:t>
      </w:r>
      <w:r w:rsidRPr="00EE347B">
        <w:rPr>
          <w:rFonts w:eastAsia="仿宋_GB2312" w:hint="eastAsia"/>
          <w:color w:val="000000"/>
        </w:rPr>
        <w:t>10</w:t>
      </w:r>
      <w:r w:rsidRPr="00EE347B">
        <w:rPr>
          <w:rFonts w:eastAsia="仿宋_GB2312" w:hint="eastAsia"/>
          <w:color w:val="000000"/>
        </w:rPr>
        <w:t>条主要入江支流水质均达到</w:t>
      </w:r>
      <w:r w:rsidRPr="00EE347B">
        <w:rPr>
          <w:rFonts w:eastAsia="仿宋_GB2312"/>
          <w:color w:val="000000"/>
          <w:spacing w:val="6"/>
        </w:rPr>
        <w:t>Ⅲ</w:t>
      </w:r>
      <w:r w:rsidRPr="00EE347B">
        <w:rPr>
          <w:rFonts w:eastAsia="仿宋_GB2312"/>
          <w:color w:val="000000"/>
        </w:rPr>
        <w:t>类</w:t>
      </w:r>
      <w:r w:rsidRPr="00EE347B">
        <w:rPr>
          <w:rFonts w:eastAsia="仿宋_GB2312" w:hint="eastAsia"/>
          <w:color w:val="000000"/>
        </w:rPr>
        <w:t>；</w:t>
      </w:r>
      <w:r w:rsidRPr="00EE347B">
        <w:rPr>
          <w:rFonts w:eastAsia="仿宋_GB2312"/>
          <w:color w:val="000000"/>
        </w:rPr>
        <w:t>完成</w:t>
      </w:r>
      <w:r w:rsidRPr="00EE347B">
        <w:rPr>
          <w:rFonts w:eastAsia="仿宋_GB2312" w:hint="eastAsia"/>
          <w:color w:val="000000"/>
        </w:rPr>
        <w:t>苏州市下达的</w:t>
      </w:r>
      <w:r w:rsidRPr="00EE347B">
        <w:rPr>
          <w:rFonts w:eastAsia="仿宋_GB2312"/>
          <w:color w:val="000000"/>
        </w:rPr>
        <w:t>黑臭水体整治任务。</w:t>
      </w:r>
    </w:p>
    <w:p w:rsidR="003A7253" w:rsidP="003A7253">
      <w:pPr>
        <w:pStyle w:val="2018"/>
        <w:spacing w:line="560" w:lineRule="exact"/>
        <w:rPr>
          <w:rFonts w:eastAsia="仿宋_GB2312"/>
          <w:bCs/>
        </w:rPr>
      </w:pPr>
      <w:r>
        <w:rPr>
          <w:rFonts w:eastAsia="仿宋_GB2312"/>
          <w:b/>
        </w:rPr>
        <w:t>保障饮用水安全。</w:t>
      </w:r>
      <w:r>
        <w:rPr>
          <w:rFonts w:eastAsia="仿宋_GB2312"/>
          <w:bCs/>
        </w:rPr>
        <w:t>开展太仓市集中式饮用水</w:t>
      </w:r>
      <w:r>
        <w:rPr>
          <w:rFonts w:eastAsia="仿宋_GB2312" w:hint="eastAsia"/>
          <w:bCs/>
        </w:rPr>
        <w:t>水</w:t>
      </w:r>
      <w:r>
        <w:rPr>
          <w:rFonts w:eastAsia="仿宋_GB2312"/>
          <w:bCs/>
        </w:rPr>
        <w:t>源地环境状况调查评估，编制发布水源地突发环境事件应急预案。建立健全饮用水水源保护区日常巡查长效机制，定期开展水源地突发事件应急演练，妥善处置相关突发事件的应急监测和处置工作。完成饮用水</w:t>
      </w:r>
      <w:r>
        <w:rPr>
          <w:rFonts w:eastAsia="仿宋_GB2312" w:hint="eastAsia"/>
          <w:bCs/>
        </w:rPr>
        <w:t>水</w:t>
      </w:r>
      <w:r>
        <w:rPr>
          <w:rFonts w:eastAsia="仿宋_GB2312"/>
          <w:bCs/>
        </w:rPr>
        <w:t>源地达标建设工作，以高分通过省水利厅饮用水</w:t>
      </w:r>
      <w:r>
        <w:rPr>
          <w:rFonts w:eastAsia="仿宋_GB2312" w:hint="eastAsia"/>
          <w:bCs/>
        </w:rPr>
        <w:t>水</w:t>
      </w:r>
      <w:r>
        <w:rPr>
          <w:rFonts w:eastAsia="仿宋_GB2312"/>
          <w:bCs/>
        </w:rPr>
        <w:t>源地达标建设验收。</w:t>
      </w:r>
    </w:p>
    <w:p w:rsidR="003A7253" w:rsidP="003A7253">
      <w:pPr>
        <w:pStyle w:val="2018"/>
        <w:spacing w:line="560" w:lineRule="exact"/>
        <w:rPr>
          <w:rFonts w:ascii="仿宋_GB2312" w:eastAsia="仿宋_GB2312" w:hAnsi="仿宋_GB2312" w:cs="仿宋_GB2312"/>
          <w:snapToGrid/>
          <w:kern w:val="2"/>
        </w:rPr>
      </w:pPr>
      <w:r>
        <w:rPr>
          <w:rFonts w:ascii="仿宋_GB2312" w:eastAsia="仿宋_GB2312" w:hAnsi="仿宋_GB2312" w:cs="仿宋_GB2312" w:hint="eastAsia"/>
          <w:b/>
        </w:rPr>
        <w:t>提升城乡污水治理水平。</w:t>
      </w:r>
      <w:r>
        <w:rPr>
          <w:rFonts w:eastAsia="仿宋_GB2312" w:hint="eastAsia"/>
        </w:rPr>
        <w:t>高质量推进城乡生活污水治理三年行动计划，实施主城区排水达标建设，稳步推进农村生活污水治理，实现重点村、特色村生活污水治理全覆盖。截至</w:t>
      </w:r>
      <w:r>
        <w:rPr>
          <w:rFonts w:eastAsia="仿宋_GB2312" w:hint="eastAsia"/>
        </w:rPr>
        <w:t>2</w:t>
      </w:r>
      <w:r>
        <w:rPr>
          <w:rFonts w:eastAsia="仿宋_GB2312"/>
        </w:rPr>
        <w:t>020</w:t>
      </w:r>
      <w:r>
        <w:rPr>
          <w:rFonts w:eastAsia="仿宋_GB2312"/>
        </w:rPr>
        <w:t>年底</w:t>
      </w:r>
      <w:r>
        <w:rPr>
          <w:rFonts w:eastAsia="仿宋_GB2312" w:hint="eastAsia"/>
        </w:rPr>
        <w:t>，太仓市城区、集镇、农村生活污水处理率分别达</w:t>
      </w:r>
      <w:r>
        <w:rPr>
          <w:rFonts w:eastAsia="仿宋_GB2312" w:hint="eastAsia"/>
        </w:rPr>
        <w:t>99.7%</w:t>
      </w:r>
      <w:r>
        <w:rPr>
          <w:rFonts w:eastAsia="仿宋_GB2312" w:hint="eastAsia"/>
        </w:rPr>
        <w:t>、</w:t>
      </w:r>
      <w:r>
        <w:rPr>
          <w:rFonts w:eastAsia="仿宋_GB2312" w:hint="eastAsia"/>
        </w:rPr>
        <w:t>99.3%</w:t>
      </w:r>
      <w:r>
        <w:rPr>
          <w:rFonts w:eastAsia="仿宋_GB2312" w:hint="eastAsia"/>
        </w:rPr>
        <w:t>、</w:t>
      </w:r>
      <w:r>
        <w:rPr>
          <w:rFonts w:eastAsia="仿宋_GB2312"/>
        </w:rPr>
        <w:t>90.4</w:t>
      </w:r>
      <w:r>
        <w:rPr>
          <w:rFonts w:eastAsia="仿宋_GB2312" w:hint="eastAsia"/>
        </w:rPr>
        <w:t>%</w:t>
      </w:r>
      <w:r>
        <w:rPr>
          <w:rFonts w:eastAsia="仿宋_GB2312" w:hint="eastAsia"/>
        </w:rPr>
        <w:t>。开展污水处理厂提标改造及改扩建工程建设，按“苏州特别排放限值标准”，实施污水处理厂尾水处理提标改造，完成南郊、双凤、浏河、沙溪污水厂扩建工程。</w:t>
      </w:r>
      <w:r>
        <w:rPr>
          <w:rFonts w:eastAsia="仿宋_GB2312"/>
          <w:bCs/>
          <w:color w:val="000000"/>
        </w:rPr>
        <w:t>加强医疗污水处理监管</w:t>
      </w:r>
      <w:r>
        <w:rPr>
          <w:rFonts w:eastAsia="仿宋_GB2312" w:hint="eastAsia"/>
          <w:bCs/>
          <w:color w:val="000000"/>
        </w:rPr>
        <w:t>，进一步提升</w:t>
      </w:r>
      <w:r>
        <w:rPr>
          <w:rFonts w:eastAsia="仿宋_GB2312"/>
          <w:color w:val="000000"/>
        </w:rPr>
        <w:t>疫情防控</w:t>
      </w:r>
      <w:r>
        <w:rPr>
          <w:rFonts w:eastAsia="仿宋_GB2312" w:hint="eastAsia"/>
          <w:color w:val="000000"/>
        </w:rPr>
        <w:t>期间</w:t>
      </w:r>
      <w:r>
        <w:rPr>
          <w:rFonts w:eastAsia="仿宋_GB2312"/>
          <w:color w:val="000000"/>
        </w:rPr>
        <w:t>污染防治水平，防止二次污染。</w:t>
      </w:r>
    </w:p>
    <w:p w:rsidR="003A7253" w:rsidP="003A7253">
      <w:pPr>
        <w:pStyle w:val="2018"/>
        <w:spacing w:line="560" w:lineRule="exact"/>
        <w:rPr>
          <w:rFonts w:eastAsia="仿宋_GB2312"/>
          <w:color w:val="000000"/>
        </w:rPr>
      </w:pPr>
      <w:r>
        <w:rPr>
          <w:rFonts w:eastAsia="仿宋_GB2312"/>
          <w:b/>
        </w:rPr>
        <w:t>加强港口码头水污染防治。</w:t>
      </w:r>
      <w:r>
        <w:rPr>
          <w:rFonts w:eastAsia="仿宋_GB2312" w:hint="eastAsia"/>
          <w:color w:val="000000"/>
        </w:rPr>
        <w:t>建成港口所有化工、件杂货、散货码头作业面的初期雨水和生产污水收集处置设施，所有码头陆域生产污水和生活污水经初步处理后纳入城市污水管网。散货码头中水回用率超过</w:t>
      </w:r>
      <w:r>
        <w:rPr>
          <w:rFonts w:eastAsia="仿宋_GB2312"/>
          <w:color w:val="000000"/>
        </w:rPr>
        <w:t>90%</w:t>
      </w:r>
      <w:r>
        <w:rPr>
          <w:rFonts w:eastAsia="仿宋_GB2312" w:hint="eastAsia"/>
          <w:color w:val="000000"/>
        </w:rPr>
        <w:t>，港口生产、生活污水</w:t>
      </w:r>
      <w:r>
        <w:rPr>
          <w:rFonts w:eastAsia="仿宋_GB2312" w:hint="eastAsia"/>
          <w:color w:val="000000"/>
        </w:rPr>
        <w:t>纳管率达</w:t>
      </w:r>
      <w:r>
        <w:rPr>
          <w:rFonts w:eastAsia="仿宋_GB2312"/>
          <w:color w:val="000000"/>
        </w:rPr>
        <w:t>100%</w:t>
      </w:r>
      <w:r>
        <w:rPr>
          <w:rFonts w:eastAsia="仿宋_GB2312" w:hint="eastAsia"/>
          <w:color w:val="000000"/>
        </w:rPr>
        <w:t>。</w:t>
      </w:r>
    </w:p>
    <w:p w:rsidR="00B373FD">
      <w:pPr>
        <w:numPr>
          <w:ilvl w:val="0"/>
          <w:numId w:val="5"/>
        </w:numPr>
        <w:adjustRightInd w:val="0"/>
        <w:snapToGrid w:val="0"/>
        <w:ind w:firstLine="640" w:firstLineChars="200"/>
        <w:rPr>
          <w:rFonts w:ascii="Times New Roman Regular" w:eastAsia="楷体_GB2312" w:hAnsi="Times New Roman Regular" w:cs="Times New Roman Regular"/>
          <w:b/>
        </w:rPr>
      </w:pPr>
      <w:r>
        <w:rPr>
          <w:rFonts w:ascii="Times New Roman Regular" w:eastAsia="楷体_GB2312" w:hAnsi="Times New Roman Regular" w:cs="Times New Roman Regular"/>
          <w:b/>
        </w:rPr>
        <w:t>加快推进土壤污染防治。</w:t>
      </w:r>
    </w:p>
    <w:p w:rsidR="00B373FD">
      <w:pPr>
        <w:pStyle w:val="2018"/>
        <w:spacing w:line="560" w:lineRule="exact"/>
        <w:ind w:firstLine="629"/>
        <w:rPr>
          <w:rFonts w:eastAsia="仿宋_GB2312"/>
          <w:bCs/>
        </w:rPr>
      </w:pPr>
      <w:r>
        <w:rPr>
          <w:rFonts w:eastAsia="仿宋_GB2312"/>
          <w:bCs/>
        </w:rPr>
        <w:t>科学</w:t>
      </w:r>
      <w:r>
        <w:rPr>
          <w:rFonts w:eastAsia="仿宋_GB2312" w:hint="eastAsia"/>
          <w:bCs/>
        </w:rPr>
        <w:t>编制</w:t>
      </w:r>
      <w:r>
        <w:rPr>
          <w:rFonts w:eastAsia="仿宋_GB2312"/>
          <w:bCs/>
        </w:rPr>
        <w:t>《</w:t>
      </w:r>
      <w:r>
        <w:rPr>
          <w:rFonts w:eastAsia="仿宋_GB2312" w:hint="eastAsia"/>
          <w:bCs/>
        </w:rPr>
        <w:t>太仓市</w:t>
      </w:r>
      <w:r>
        <w:rPr>
          <w:rFonts w:eastAsia="仿宋_GB2312"/>
          <w:bCs/>
        </w:rPr>
        <w:t>土壤污染治理与修复规划</w:t>
      </w:r>
      <w:r>
        <w:rPr>
          <w:rFonts w:eastAsia="仿宋_GB2312" w:hint="eastAsia"/>
          <w:bCs/>
        </w:rPr>
        <w:t>（</w:t>
      </w:r>
      <w:r>
        <w:rPr>
          <w:rFonts w:eastAsia="仿宋_GB2312"/>
          <w:bCs/>
        </w:rPr>
        <w:t>2017</w:t>
      </w:r>
      <w:r>
        <w:rPr>
          <w:rFonts w:eastAsia="仿宋_GB2312" w:hint="eastAsia"/>
          <w:bCs/>
        </w:rPr>
        <w:t>-</w:t>
      </w:r>
      <w:r>
        <w:rPr>
          <w:rFonts w:eastAsia="仿宋_GB2312"/>
          <w:bCs/>
        </w:rPr>
        <w:t>2020</w:t>
      </w:r>
      <w:r>
        <w:rPr>
          <w:rFonts w:eastAsia="仿宋_GB2312"/>
          <w:bCs/>
        </w:rPr>
        <w:t>年）》《太仓市土壤污染防治工作方案》，启动全市土壤环境状况调查，全面完成农用地土壤污染状况详查，开展重点行业地块土壤环境信息采集和风险筛查，对</w:t>
      </w:r>
      <w:r>
        <w:rPr>
          <w:rFonts w:eastAsia="仿宋_GB2312"/>
          <w:bCs/>
        </w:rPr>
        <w:t>28</w:t>
      </w:r>
      <w:r>
        <w:rPr>
          <w:rFonts w:eastAsia="仿宋_GB2312"/>
          <w:bCs/>
        </w:rPr>
        <w:t>个重点地块开展采样调查，编制完成疑似污染地块空间分布报告。大力推动拟拆旧复垦地块土壤污染调查，先后对拟开发的</w:t>
      </w:r>
      <w:r>
        <w:rPr>
          <w:rFonts w:eastAsia="仿宋_GB2312"/>
          <w:bCs/>
        </w:rPr>
        <w:t>10</w:t>
      </w:r>
      <w:r>
        <w:rPr>
          <w:rFonts w:eastAsia="仿宋_GB2312"/>
          <w:bCs/>
        </w:rPr>
        <w:t>个地块开展土壤初步调查。</w:t>
      </w:r>
      <w:r>
        <w:rPr>
          <w:rFonts w:eastAsia="仿宋_GB2312"/>
          <w:kern w:val="2"/>
          <w:lang w:val="zh-CN"/>
        </w:rPr>
        <w:t>土壤安全利用水平巩固提升，全市受污染耕地安全利用率达到</w:t>
      </w:r>
      <w:r>
        <w:rPr>
          <w:rFonts w:eastAsia="仿宋_GB2312"/>
          <w:kern w:val="2"/>
          <w:lang w:val="zh-CN"/>
        </w:rPr>
        <w:t>9</w:t>
      </w:r>
      <w:r>
        <w:rPr>
          <w:rFonts w:eastAsia="仿宋_GB2312"/>
          <w:kern w:val="2"/>
        </w:rPr>
        <w:t>0</w:t>
      </w:r>
      <w:r>
        <w:rPr>
          <w:rFonts w:eastAsia="仿宋_GB2312"/>
          <w:kern w:val="2"/>
          <w:lang w:val="zh-CN"/>
        </w:rPr>
        <w:t>%</w:t>
      </w:r>
      <w:r>
        <w:rPr>
          <w:rFonts w:eastAsia="仿宋_GB2312"/>
          <w:kern w:val="2"/>
          <w:lang w:val="zh-CN"/>
        </w:rPr>
        <w:t>，污染地块安全利用率达到</w:t>
      </w:r>
      <w:r>
        <w:rPr>
          <w:kern w:val="2"/>
        </w:rPr>
        <w:t>90</w:t>
      </w:r>
      <w:r>
        <w:rPr>
          <w:rFonts w:eastAsia="仿宋_GB2312"/>
          <w:kern w:val="2"/>
          <w:lang w:val="zh-CN"/>
        </w:rPr>
        <w:t>%</w:t>
      </w:r>
      <w:r>
        <w:rPr>
          <w:rFonts w:eastAsia="仿宋_GB2312"/>
          <w:kern w:val="2"/>
          <w:lang w:val="zh-CN"/>
        </w:rPr>
        <w:t>。</w:t>
      </w:r>
    </w:p>
    <w:p w:rsidR="00B373FD">
      <w:pPr>
        <w:pStyle w:val="Heading3"/>
        <w:numPr>
          <w:ilvl w:val="2"/>
          <w:numId w:val="4"/>
        </w:numPr>
        <w:rPr>
          <w:rFonts w:ascii="Times New Roman Regular" w:hAnsi="Times New Roman Regular" w:cs="Times New Roman Regular"/>
        </w:rPr>
      </w:pPr>
      <w:r>
        <w:rPr>
          <w:rFonts w:ascii="Times New Roman Regular" w:hAnsi="Times New Roman Regular" w:cs="Times New Roman Regular"/>
        </w:rPr>
        <w:t>生态保护水平不断提升</w:t>
      </w:r>
    </w:p>
    <w:p w:rsidR="00B373FD">
      <w:pPr>
        <w:adjustRightInd w:val="0"/>
        <w:snapToGrid w:val="0"/>
        <w:ind w:firstLine="640" w:firstLineChars="200"/>
        <w:rPr>
          <w:lang w:val="zh-CN"/>
        </w:rPr>
      </w:pPr>
      <w:r>
        <w:rPr>
          <w:b/>
          <w:szCs w:val="32"/>
          <w:lang w:val="zh-CN"/>
        </w:rPr>
        <w:t>强化生态空间保护。</w:t>
      </w:r>
      <w:r>
        <w:t>“</w:t>
      </w:r>
      <w:r>
        <w:t>十三五</w:t>
      </w:r>
      <w:r>
        <w:t>”</w:t>
      </w:r>
      <w:r>
        <w:t>期间，</w:t>
      </w:r>
      <w:r w:rsidR="00BF35D0">
        <w:t>太仓市</w:t>
      </w:r>
      <w:r>
        <w:t>科学、合理划定、调整生态空间保护区域，共划定了包括森林公园、湿地公园、饮用水水源地保护区、重要湿地及清水通道在内的</w:t>
      </w:r>
      <w:r>
        <w:t>5</w:t>
      </w:r>
      <w:r>
        <w:t>类</w:t>
      </w:r>
      <w:r>
        <w:t>9</w:t>
      </w:r>
      <w:r>
        <w:t>块生态空间保护区域，面积</w:t>
      </w:r>
      <w:r>
        <w:t>146.99</w:t>
      </w:r>
      <w:r>
        <w:t>平方公里。其中生态保护红线</w:t>
      </w:r>
      <w:r>
        <w:t>2</w:t>
      </w:r>
      <w:r>
        <w:t>类、</w:t>
      </w:r>
      <w:r>
        <w:t>3</w:t>
      </w:r>
      <w:r>
        <w:t>块区域，面积</w:t>
      </w:r>
      <w:r>
        <w:t>12.3</w:t>
      </w:r>
      <w:r>
        <w:t>平方公里；生态空间管控区</w:t>
      </w:r>
      <w:r>
        <w:t>4</w:t>
      </w:r>
      <w:r>
        <w:t>类、</w:t>
      </w:r>
      <w:r>
        <w:t>7</w:t>
      </w:r>
      <w:r>
        <w:t>块区域，面积</w:t>
      </w:r>
      <w:r>
        <w:t>134.69</w:t>
      </w:r>
      <w:r>
        <w:t>平方公里。生态空间保护范围较</w:t>
      </w:r>
      <w:r>
        <w:t>“</w:t>
      </w:r>
      <w:r>
        <w:t>十二五</w:t>
      </w:r>
      <w:r>
        <w:t>”</w:t>
      </w:r>
      <w:r>
        <w:t>期间大幅增加。</w:t>
      </w:r>
    </w:p>
    <w:p w:rsidR="00B373FD">
      <w:pPr>
        <w:adjustRightInd w:val="0"/>
        <w:snapToGrid w:val="0"/>
        <w:ind w:firstLine="640" w:firstLineChars="200"/>
        <w:rPr>
          <w:b/>
          <w:szCs w:val="32"/>
          <w:lang w:val="zh-CN"/>
        </w:rPr>
      </w:pPr>
      <w:r>
        <w:rPr>
          <w:b/>
          <w:szCs w:val="32"/>
        </w:rPr>
        <w:t>加强湿地</w:t>
      </w:r>
      <w:r>
        <w:rPr>
          <w:b/>
          <w:szCs w:val="32"/>
          <w:lang w:val="zh-CN"/>
        </w:rPr>
        <w:t>生态修复</w:t>
      </w:r>
      <w:r>
        <w:rPr>
          <w:b/>
          <w:szCs w:val="32"/>
        </w:rPr>
        <w:t>。</w:t>
      </w:r>
      <w:r>
        <w:rPr>
          <w:bCs/>
          <w:szCs w:val="32"/>
          <w:lang w:val="zh-CN"/>
        </w:rPr>
        <w:t>启动《太仓市湿地保护规划（</w:t>
      </w:r>
      <w:r>
        <w:rPr>
          <w:bCs/>
          <w:szCs w:val="32"/>
          <w:lang w:val="zh-CN"/>
        </w:rPr>
        <w:t>2017</w:t>
      </w:r>
      <w:r>
        <w:rPr>
          <w:bCs/>
          <w:szCs w:val="32"/>
        </w:rPr>
        <w:t xml:space="preserve"> </w:t>
      </w:r>
      <w:r>
        <w:rPr>
          <w:bCs/>
          <w:szCs w:val="32"/>
          <w:lang w:val="zh-CN"/>
        </w:rPr>
        <w:t>-2030</w:t>
      </w:r>
      <w:r>
        <w:rPr>
          <w:bCs/>
          <w:szCs w:val="32"/>
          <w:lang w:val="zh-CN"/>
        </w:rPr>
        <w:t>）》编制工作，完成长江、金仓湖省级湿地公园省级重要湿地名录认定，完成</w:t>
      </w:r>
      <w:r>
        <w:rPr>
          <w:bCs/>
          <w:szCs w:val="32"/>
          <w:lang w:val="zh-CN"/>
        </w:rPr>
        <w:t>“</w:t>
      </w:r>
      <w:r>
        <w:rPr>
          <w:bCs/>
          <w:szCs w:val="32"/>
          <w:lang w:val="zh-CN"/>
        </w:rPr>
        <w:t>长江湿地保护小区</w:t>
      </w:r>
      <w:r>
        <w:rPr>
          <w:bCs/>
          <w:szCs w:val="32"/>
          <w:lang w:val="zh-CN"/>
        </w:rPr>
        <w:t>”</w:t>
      </w:r>
      <w:r>
        <w:rPr>
          <w:bCs/>
          <w:szCs w:val="32"/>
          <w:lang w:val="zh-CN"/>
        </w:rPr>
        <w:t>建设，修复湿地面积</w:t>
      </w:r>
      <w:r>
        <w:rPr>
          <w:bCs/>
          <w:szCs w:val="32"/>
          <w:lang w:val="zh-CN"/>
        </w:rPr>
        <w:t>200</w:t>
      </w:r>
      <w:r>
        <w:rPr>
          <w:bCs/>
          <w:szCs w:val="32"/>
          <w:lang w:val="zh-CN"/>
        </w:rPr>
        <w:t>亩，全市自然湿地保护率达</w:t>
      </w:r>
      <w:r>
        <w:rPr>
          <w:bCs/>
          <w:szCs w:val="32"/>
          <w:lang w:val="zh-CN"/>
        </w:rPr>
        <w:t>72.4%</w:t>
      </w:r>
      <w:r>
        <w:rPr>
          <w:bCs/>
          <w:szCs w:val="32"/>
          <w:lang w:val="zh-CN"/>
        </w:rPr>
        <w:t>。开展湿地公园鸟类、有害生物</w:t>
      </w:r>
      <w:r w:rsidR="003A7253">
        <w:rPr>
          <w:bCs/>
          <w:szCs w:val="32"/>
          <w:lang w:val="zh-CN"/>
        </w:rPr>
        <w:t>等</w:t>
      </w:r>
      <w:r>
        <w:rPr>
          <w:bCs/>
          <w:szCs w:val="32"/>
          <w:lang w:val="zh-CN"/>
        </w:rPr>
        <w:t>普查工作。加强野生动物保护力度，</w:t>
      </w:r>
      <w:r w:rsidR="00BF35D0">
        <w:rPr>
          <w:bCs/>
          <w:szCs w:val="32"/>
          <w:lang w:val="zh-CN"/>
        </w:rPr>
        <w:t>定期</w:t>
      </w:r>
      <w:r>
        <w:rPr>
          <w:bCs/>
          <w:szCs w:val="32"/>
          <w:lang w:val="zh-CN"/>
        </w:rPr>
        <w:t>开展检查巡视。</w:t>
      </w:r>
    </w:p>
    <w:p w:rsidR="00B373FD">
      <w:pPr>
        <w:pStyle w:val="-"/>
        <w:spacing w:line="560" w:lineRule="exact"/>
        <w:ind w:firstLine="643"/>
        <w:rPr>
          <w:lang w:val="zh-CN"/>
        </w:rPr>
      </w:pPr>
      <w:r>
        <w:rPr>
          <w:b/>
          <w:bCs/>
        </w:rPr>
        <w:t>绿色建设成果显著。</w:t>
      </w:r>
      <w:r>
        <w:rPr>
          <w:lang w:val="zh-CN"/>
        </w:rPr>
        <w:t>初步构建</w:t>
      </w:r>
      <w:r>
        <w:rPr>
          <w:lang w:val="zh-CN"/>
        </w:rPr>
        <w:t>“</w:t>
      </w:r>
      <w:r>
        <w:rPr>
          <w:lang w:val="zh-CN"/>
        </w:rPr>
        <w:t>一心两湖三环四园</w:t>
      </w:r>
      <w:r>
        <w:rPr>
          <w:lang w:val="zh-CN"/>
        </w:rPr>
        <w:t>”</w:t>
      </w:r>
      <w:r>
        <w:rPr>
          <w:lang w:val="zh-CN"/>
        </w:rPr>
        <w:t>城市生态体系，</w:t>
      </w:r>
      <w:r w:rsidR="00BF35D0">
        <w:rPr>
          <w:rFonts w:hint="eastAsia"/>
          <w:lang w:val="zh-CN"/>
        </w:rPr>
        <w:t>2</w:t>
      </w:r>
      <w:r w:rsidR="00BF35D0">
        <w:rPr>
          <w:lang w:val="zh-CN"/>
        </w:rPr>
        <w:t>020</w:t>
      </w:r>
      <w:r w:rsidR="00BF35D0">
        <w:rPr>
          <w:lang w:val="zh-CN"/>
        </w:rPr>
        <w:t>年</w:t>
      </w:r>
      <w:r w:rsidR="00BF35D0">
        <w:rPr>
          <w:rFonts w:hint="eastAsia"/>
          <w:lang w:val="zh-CN"/>
        </w:rPr>
        <w:t>，</w:t>
      </w:r>
      <w:r>
        <w:rPr>
          <w:lang w:val="zh-CN"/>
        </w:rPr>
        <w:t>全市建成区绿地率和绿化覆盖率分别升至</w:t>
      </w:r>
      <w:r>
        <w:rPr>
          <w:lang w:val="zh-CN"/>
        </w:rPr>
        <w:t>38.92%</w:t>
      </w:r>
      <w:r>
        <w:rPr>
          <w:lang w:val="zh-CN"/>
        </w:rPr>
        <w:t>和</w:t>
      </w:r>
      <w:r>
        <w:rPr>
          <w:lang w:val="zh-CN"/>
        </w:rPr>
        <w:t>41.09%</w:t>
      </w:r>
      <w:r>
        <w:rPr>
          <w:lang w:val="zh-CN"/>
        </w:rPr>
        <w:t>，人均公园绿地面积达到</w:t>
      </w:r>
      <w:r>
        <w:rPr>
          <w:lang w:val="zh-CN"/>
        </w:rPr>
        <w:t>15.33</w:t>
      </w:r>
      <w:r>
        <w:rPr>
          <w:lang w:val="zh-CN"/>
        </w:rPr>
        <w:t>平方米。推进造林绿化工程，建设完成何桥村、新华村等</w:t>
      </w:r>
      <w:r>
        <w:rPr>
          <w:lang w:val="zh-CN"/>
        </w:rPr>
        <w:t>53</w:t>
      </w:r>
      <w:r>
        <w:rPr>
          <w:lang w:val="zh-CN"/>
        </w:rPr>
        <w:t>个省级绿化示范村和胜泾村、永丰村等</w:t>
      </w:r>
      <w:r>
        <w:rPr>
          <w:lang w:val="zh-CN"/>
        </w:rPr>
        <w:t>5</w:t>
      </w:r>
      <w:r>
        <w:rPr>
          <w:lang w:val="zh-CN"/>
        </w:rPr>
        <w:t>个省级</w:t>
      </w:r>
      <w:r>
        <w:rPr>
          <w:lang w:val="zh-CN"/>
        </w:rPr>
        <w:t>“</w:t>
      </w:r>
      <w:r>
        <w:rPr>
          <w:lang w:val="zh-CN"/>
        </w:rPr>
        <w:t>三化</w:t>
      </w:r>
      <w:r>
        <w:rPr>
          <w:lang w:val="zh-CN"/>
        </w:rPr>
        <w:t>”</w:t>
      </w:r>
      <w:r>
        <w:rPr>
          <w:lang w:val="zh-CN"/>
        </w:rPr>
        <w:t>示范村。完成长江沿岸造林绿化、七丫口郊野湿地、围滩七期造林等项目，新增造林</w:t>
      </w:r>
      <w:r>
        <w:rPr>
          <w:lang w:val="zh-CN"/>
        </w:rPr>
        <w:t>1</w:t>
      </w:r>
      <w:r>
        <w:rPr>
          <w:lang w:val="zh-CN"/>
        </w:rPr>
        <w:t>万余亩，林木覆盖率达</w:t>
      </w:r>
      <w:r>
        <w:rPr>
          <w:lang w:val="zh-CN"/>
        </w:rPr>
        <w:t>18.60%</w:t>
      </w:r>
      <w:r>
        <w:rPr>
          <w:lang w:val="zh-CN"/>
        </w:rPr>
        <w:t>，通过国家生态园林城市现场</w:t>
      </w:r>
      <w:r w:rsidR="00BF35D0">
        <w:rPr>
          <w:rFonts w:hint="eastAsia"/>
          <w:lang w:val="zh-CN"/>
        </w:rPr>
        <w:t>考察</w:t>
      </w:r>
      <w:r>
        <w:rPr>
          <w:lang w:val="zh-CN"/>
        </w:rPr>
        <w:t>验收。</w:t>
      </w:r>
    </w:p>
    <w:p w:rsidR="00B373FD">
      <w:pPr>
        <w:pStyle w:val="Heading3"/>
        <w:numPr>
          <w:ilvl w:val="2"/>
          <w:numId w:val="4"/>
        </w:numPr>
        <w:rPr>
          <w:rFonts w:ascii="Times New Roman Regular" w:hAnsi="Times New Roman Regular" w:cs="Times New Roman Regular"/>
        </w:rPr>
      </w:pPr>
      <w:r>
        <w:rPr>
          <w:rFonts w:ascii="Times New Roman Regular" w:hAnsi="Times New Roman Regular" w:cs="Times New Roman Regular"/>
        </w:rPr>
        <w:t>风险防范水平不断提升</w:t>
      </w:r>
    </w:p>
    <w:p w:rsidR="00B373FD">
      <w:pPr>
        <w:ind w:firstLine="640" w:firstLineChars="200"/>
        <w:rPr>
          <w:szCs w:val="32"/>
        </w:rPr>
      </w:pPr>
      <w:r>
        <w:rPr>
          <w:b/>
          <w:szCs w:val="32"/>
        </w:rPr>
        <w:t>完善环境风险防控体系。</w:t>
      </w:r>
      <w:bookmarkStart w:id="32" w:name="_Hlk65400026"/>
      <w:r>
        <w:rPr>
          <w:szCs w:val="32"/>
        </w:rPr>
        <w:t>全面开展风险等级评估工作，完成全市化工、电镀、危废、国控等</w:t>
      </w:r>
      <w:r>
        <w:rPr>
          <w:szCs w:val="32"/>
        </w:rPr>
        <w:t>100</w:t>
      </w:r>
      <w:r>
        <w:rPr>
          <w:szCs w:val="32"/>
        </w:rPr>
        <w:t>家企业风险评估等级确认工作，完成</w:t>
      </w:r>
      <w:r>
        <w:rPr>
          <w:szCs w:val="32"/>
        </w:rPr>
        <w:t>421</w:t>
      </w:r>
      <w:r>
        <w:rPr>
          <w:szCs w:val="32"/>
        </w:rPr>
        <w:t>家企业环境行为初评</w:t>
      </w:r>
      <w:r>
        <w:rPr>
          <w:rFonts w:hint="eastAsia"/>
          <w:szCs w:val="32"/>
        </w:rPr>
        <w:t>。开展</w:t>
      </w:r>
      <w:r>
        <w:rPr>
          <w:szCs w:val="32"/>
        </w:rPr>
        <w:t>太仓市突发环境事件应急预案等修编</w:t>
      </w:r>
      <w:r w:rsidR="007F2D7A">
        <w:rPr>
          <w:szCs w:val="32"/>
        </w:rPr>
        <w:t>并</w:t>
      </w:r>
      <w:r>
        <w:rPr>
          <w:szCs w:val="32"/>
        </w:rPr>
        <w:t>发布，指导区镇</w:t>
      </w:r>
      <w:r>
        <w:rPr>
          <w:rFonts w:hint="eastAsia"/>
          <w:szCs w:val="32"/>
        </w:rPr>
        <w:t>定期开展</w:t>
      </w:r>
      <w:r>
        <w:rPr>
          <w:szCs w:val="32"/>
        </w:rPr>
        <w:t>示范性应急演练</w:t>
      </w:r>
      <w:r>
        <w:rPr>
          <w:rFonts w:hint="eastAsia"/>
          <w:szCs w:val="32"/>
        </w:rPr>
        <w:t>。环境应急能力持续加强，组织开展重要时段、重大活动环境安全大检查，开展</w:t>
      </w:r>
      <w:r>
        <w:rPr>
          <w:szCs w:val="32"/>
        </w:rPr>
        <w:t>环境隐患排查整治行动。</w:t>
      </w:r>
    </w:p>
    <w:p w:rsidR="00B373FD" w:rsidRPr="003A7253" w:rsidP="00AC0AE4">
      <w:pPr>
        <w:pStyle w:val="NoteHeading"/>
        <w:ind w:firstLine="640" w:firstLineChars="200"/>
        <w:jc w:val="both"/>
        <w:rPr>
          <w:color w:val="0D0D0D"/>
        </w:rPr>
      </w:pPr>
      <w:r>
        <w:rPr>
          <w:b/>
          <w:szCs w:val="32"/>
        </w:rPr>
        <w:t>严格危险废物环境监管。</w:t>
      </w:r>
      <w:bookmarkEnd w:id="32"/>
      <w:r w:rsidRPr="00AC0AE4" w:rsidR="00AC0AE4">
        <w:rPr>
          <w:rFonts w:hint="eastAsia"/>
          <w:color w:val="0D0D0D"/>
        </w:rPr>
        <w:t>严格落实危险废物经营许可、转移等管理制度。提升危险废物安全处置能力，建成了年处理</w:t>
      </w:r>
      <w:r w:rsidRPr="00AC0AE4" w:rsidR="00AC0AE4">
        <w:rPr>
          <w:rFonts w:hint="eastAsia"/>
          <w:color w:val="0D0D0D"/>
        </w:rPr>
        <w:t>1.98</w:t>
      </w:r>
      <w:r w:rsidRPr="00AC0AE4" w:rsidR="00AC0AE4">
        <w:rPr>
          <w:rFonts w:hint="eastAsia"/>
          <w:color w:val="0D0D0D"/>
        </w:rPr>
        <w:t>万吨的危险废物集中焚烧处置、年处理能力</w:t>
      </w:r>
      <w:r w:rsidRPr="00AC0AE4" w:rsidR="00AC0AE4">
        <w:rPr>
          <w:rFonts w:hint="eastAsia"/>
          <w:color w:val="0D0D0D"/>
        </w:rPr>
        <w:t>0.35</w:t>
      </w:r>
      <w:r w:rsidRPr="00AC0AE4" w:rsidR="00AC0AE4">
        <w:rPr>
          <w:rFonts w:hint="eastAsia"/>
          <w:color w:val="0D0D0D"/>
        </w:rPr>
        <w:t>万吨高氟物危险废物处置、华能发电有限责任公司燃煤耦合生物质、苏州娄城新材料科技有限公司年利用氟化污泥</w:t>
      </w:r>
      <w:r w:rsidRPr="00AC0AE4" w:rsidR="00AC0AE4">
        <w:rPr>
          <w:rFonts w:hint="eastAsia"/>
          <w:color w:val="0D0D0D"/>
        </w:rPr>
        <w:t>1.75</w:t>
      </w:r>
      <w:r w:rsidRPr="00AC0AE4" w:rsidR="00AC0AE4">
        <w:rPr>
          <w:rFonts w:hint="eastAsia"/>
          <w:color w:val="0D0D0D"/>
        </w:rPr>
        <w:t>万吨等项目。规范企业自建危废焚烧炉环境管理，强化危险废物经营单位和企业自行处置利用设施环境监测。持续完善小量危险废物处置收集体系，有效解决小量危险废物处置成本高、处置难等问题。开展危险废物产生及经营企业达标建设，</w:t>
      </w:r>
      <w:r w:rsidRPr="00AC0AE4" w:rsidR="00AC0AE4">
        <w:rPr>
          <w:rFonts w:hint="eastAsia"/>
          <w:color w:val="0D0D0D"/>
        </w:rPr>
        <w:t>全市危险废物规范化管理抽查合格率达</w:t>
      </w:r>
      <w:r w:rsidRPr="00AC0AE4" w:rsidR="00AC0AE4">
        <w:rPr>
          <w:rFonts w:hint="eastAsia"/>
          <w:color w:val="0D0D0D"/>
        </w:rPr>
        <w:t>95%</w:t>
      </w:r>
      <w:r w:rsidRPr="00AC0AE4" w:rsidR="00AC0AE4">
        <w:rPr>
          <w:rFonts w:hint="eastAsia"/>
          <w:color w:val="0D0D0D"/>
        </w:rPr>
        <w:t>以上。深入打击和遏制危险废物非法转移倾倒等环境违法犯罪行为，建立问题清单，实行销号管理。</w:t>
      </w:r>
    </w:p>
    <w:p w:rsidR="00B373FD">
      <w:pPr>
        <w:ind w:firstLine="640" w:firstLineChars="200"/>
      </w:pPr>
      <w:r>
        <w:rPr>
          <w:b/>
          <w:szCs w:val="32"/>
        </w:rPr>
        <w:t>加强核与辐射安全监管。</w:t>
      </w:r>
      <w:r>
        <w:rPr>
          <w:color w:val="000000"/>
          <w:szCs w:val="32"/>
        </w:rPr>
        <w:t>扎实推进放射源安全检查专项行动、核与辐射安全风险隐患排查治理三年行动，累计检查辐射单位</w:t>
      </w:r>
      <w:r w:rsidR="00B21412">
        <w:rPr>
          <w:color w:val="000000"/>
          <w:szCs w:val="32"/>
        </w:rPr>
        <w:t>323</w:t>
      </w:r>
      <w:r>
        <w:rPr>
          <w:color w:val="000000"/>
          <w:szCs w:val="32"/>
        </w:rPr>
        <w:t>次，送贮、厂家回收各类废旧放射源</w:t>
      </w:r>
      <w:r w:rsidR="00B21412">
        <w:rPr>
          <w:color w:val="000000"/>
          <w:szCs w:val="32"/>
        </w:rPr>
        <w:t>5</w:t>
      </w:r>
      <w:r>
        <w:rPr>
          <w:color w:val="000000"/>
          <w:szCs w:val="32"/>
        </w:rPr>
        <w:t>批次，全面消除</w:t>
      </w:r>
      <w:r w:rsidR="009B7781">
        <w:rPr>
          <w:color w:val="000000"/>
          <w:szCs w:val="32"/>
        </w:rPr>
        <w:t>核与</w:t>
      </w:r>
      <w:r>
        <w:rPr>
          <w:color w:val="000000"/>
          <w:szCs w:val="32"/>
        </w:rPr>
        <w:t>辐射安全隐患。</w:t>
      </w:r>
    </w:p>
    <w:p w:rsidR="00B373FD">
      <w:pPr>
        <w:pStyle w:val="Heading3"/>
        <w:numPr>
          <w:ilvl w:val="2"/>
          <w:numId w:val="4"/>
        </w:numPr>
        <w:rPr>
          <w:rFonts w:ascii="Times New Roman Regular" w:hAnsi="Times New Roman Regular" w:cs="Times New Roman Regular"/>
        </w:rPr>
      </w:pPr>
      <w:r>
        <w:rPr>
          <w:rFonts w:ascii="Times New Roman Regular" w:hAnsi="Times New Roman Regular" w:cs="Times New Roman Regular"/>
        </w:rPr>
        <w:t>环保监管能力大幅提高</w:t>
      </w:r>
    </w:p>
    <w:p w:rsidR="00B373FD">
      <w:pPr>
        <w:adjustRightInd w:val="0"/>
        <w:snapToGrid w:val="0"/>
        <w:ind w:firstLine="640" w:firstLineChars="200"/>
        <w:rPr>
          <w:spacing w:val="7"/>
          <w:szCs w:val="32"/>
        </w:rPr>
      </w:pPr>
      <w:r>
        <w:rPr>
          <w:b/>
          <w:szCs w:val="32"/>
        </w:rPr>
        <w:t>创新优化监管制度。</w:t>
      </w:r>
      <w:r>
        <w:rPr>
          <w:szCs w:val="32"/>
        </w:rPr>
        <w:t>落实网格化监管制</w:t>
      </w:r>
      <w:r w:rsidR="007F2D7A">
        <w:rPr>
          <w:szCs w:val="32"/>
        </w:rPr>
        <w:t>度</w:t>
      </w:r>
      <w:r>
        <w:rPr>
          <w:szCs w:val="32"/>
        </w:rPr>
        <w:t>，划分出</w:t>
      </w:r>
      <w:r>
        <w:rPr>
          <w:szCs w:val="32"/>
        </w:rPr>
        <w:t>1</w:t>
      </w:r>
      <w:r>
        <w:rPr>
          <w:szCs w:val="32"/>
        </w:rPr>
        <w:t>个二级环境监管网格、</w:t>
      </w:r>
      <w:r>
        <w:rPr>
          <w:szCs w:val="32"/>
        </w:rPr>
        <w:t>9</w:t>
      </w:r>
      <w:r>
        <w:rPr>
          <w:szCs w:val="32"/>
        </w:rPr>
        <w:t>个三级监管网格和</w:t>
      </w:r>
      <w:r>
        <w:rPr>
          <w:szCs w:val="32"/>
        </w:rPr>
        <w:t>102</w:t>
      </w:r>
      <w:r>
        <w:rPr>
          <w:szCs w:val="32"/>
        </w:rPr>
        <w:t>个四级网格，配备四级网格员</w:t>
      </w:r>
      <w:r>
        <w:rPr>
          <w:szCs w:val="32"/>
        </w:rPr>
        <w:t>132</w:t>
      </w:r>
      <w:r>
        <w:rPr>
          <w:szCs w:val="32"/>
        </w:rPr>
        <w:t>人。推行</w:t>
      </w:r>
      <w:r>
        <w:rPr>
          <w:szCs w:val="32"/>
        </w:rPr>
        <w:t>“</w:t>
      </w:r>
      <w:r>
        <w:rPr>
          <w:szCs w:val="32"/>
        </w:rPr>
        <w:t>四随机、二公开</w:t>
      </w:r>
      <w:r>
        <w:rPr>
          <w:szCs w:val="32"/>
        </w:rPr>
        <w:t>”</w:t>
      </w:r>
      <w:r>
        <w:rPr>
          <w:szCs w:val="32"/>
        </w:rPr>
        <w:t>，依托</w:t>
      </w:r>
      <w:r>
        <w:rPr>
          <w:szCs w:val="32"/>
        </w:rPr>
        <w:t>“</w:t>
      </w:r>
      <w:r>
        <w:rPr>
          <w:szCs w:val="32"/>
        </w:rPr>
        <w:t>智慧环保</w:t>
      </w:r>
      <w:r>
        <w:rPr>
          <w:szCs w:val="32"/>
        </w:rPr>
        <w:t>”</w:t>
      </w:r>
      <w:r>
        <w:rPr>
          <w:szCs w:val="32"/>
        </w:rPr>
        <w:t>和</w:t>
      </w:r>
      <w:r>
        <w:rPr>
          <w:szCs w:val="32"/>
        </w:rPr>
        <w:t>“</w:t>
      </w:r>
      <w:r>
        <w:rPr>
          <w:szCs w:val="32"/>
        </w:rPr>
        <w:t>环保大检查一企一档信息库</w:t>
      </w:r>
      <w:r>
        <w:rPr>
          <w:szCs w:val="32"/>
        </w:rPr>
        <w:t>”</w:t>
      </w:r>
      <w:r>
        <w:rPr>
          <w:szCs w:val="32"/>
        </w:rPr>
        <w:t>，按照每季度</w:t>
      </w:r>
      <w:r>
        <w:rPr>
          <w:szCs w:val="32"/>
        </w:rPr>
        <w:t>25%</w:t>
      </w:r>
      <w:r>
        <w:rPr>
          <w:szCs w:val="32"/>
        </w:rPr>
        <w:t>比例抽查重点排污单位，按照</w:t>
      </w:r>
      <w:r>
        <w:rPr>
          <w:kern w:val="0"/>
          <w:szCs w:val="32"/>
        </w:rPr>
        <w:t>监察人员与企业比例</w:t>
      </w:r>
      <w:r>
        <w:rPr>
          <w:kern w:val="0"/>
          <w:szCs w:val="32"/>
        </w:rPr>
        <w:t>1</w:t>
      </w:r>
      <w:r w:rsidR="007F2D7A">
        <w:rPr>
          <w:rFonts w:hint="eastAsia"/>
          <w:kern w:val="0"/>
          <w:szCs w:val="32"/>
        </w:rPr>
        <w:t>:</w:t>
      </w:r>
      <w:r>
        <w:rPr>
          <w:kern w:val="0"/>
          <w:szCs w:val="32"/>
        </w:rPr>
        <w:t>10</w:t>
      </w:r>
      <w:r>
        <w:rPr>
          <w:kern w:val="0"/>
          <w:szCs w:val="32"/>
        </w:rPr>
        <w:t>抽查一般排污单位，</w:t>
      </w:r>
      <w:r w:rsidR="00280D5E">
        <w:rPr>
          <w:rFonts w:hint="eastAsia"/>
          <w:kern w:val="0"/>
          <w:szCs w:val="32"/>
        </w:rPr>
        <w:t>2</w:t>
      </w:r>
      <w:r w:rsidR="00280D5E">
        <w:rPr>
          <w:kern w:val="0"/>
          <w:szCs w:val="32"/>
        </w:rPr>
        <w:t>020</w:t>
      </w:r>
      <w:r w:rsidR="00280D5E">
        <w:rPr>
          <w:kern w:val="0"/>
          <w:szCs w:val="32"/>
        </w:rPr>
        <w:t>年</w:t>
      </w:r>
      <w:r w:rsidR="00280D5E">
        <w:rPr>
          <w:rFonts w:hint="eastAsia"/>
          <w:kern w:val="0"/>
          <w:szCs w:val="32"/>
        </w:rPr>
        <w:t>，</w:t>
      </w:r>
      <w:r w:rsidR="00E965F6">
        <w:rPr>
          <w:kern w:val="0"/>
          <w:szCs w:val="32"/>
        </w:rPr>
        <w:t>太仓市</w:t>
      </w:r>
      <w:r w:rsidRPr="00716193">
        <w:rPr>
          <w:rFonts w:hint="eastAsia"/>
          <w:spacing w:val="7"/>
          <w:szCs w:val="32"/>
        </w:rPr>
        <w:t>受理各类环境信访</w:t>
      </w:r>
      <w:r w:rsidRPr="00716193">
        <w:rPr>
          <w:spacing w:val="7"/>
          <w:szCs w:val="32"/>
        </w:rPr>
        <w:t>1933</w:t>
      </w:r>
      <w:r w:rsidRPr="00716193">
        <w:rPr>
          <w:rFonts w:hint="eastAsia"/>
          <w:spacing w:val="7"/>
          <w:szCs w:val="32"/>
        </w:rPr>
        <w:t>件</w:t>
      </w:r>
      <w:r w:rsidRPr="00716193">
        <w:rPr>
          <w:rFonts w:hint="eastAsia"/>
          <w:szCs w:val="32"/>
        </w:rPr>
        <w:t>，同比减少</w:t>
      </w:r>
      <w:r w:rsidRPr="00716193">
        <w:rPr>
          <w:szCs w:val="32"/>
        </w:rPr>
        <w:t>30.3%</w:t>
      </w:r>
      <w:r w:rsidRPr="00716193">
        <w:rPr>
          <w:rFonts w:hint="eastAsia"/>
          <w:szCs w:val="32"/>
        </w:rPr>
        <w:t>。</w:t>
      </w:r>
    </w:p>
    <w:p w:rsidR="00317E8E" w:rsidP="00317E8E">
      <w:pPr>
        <w:adjustRightInd w:val="0"/>
        <w:snapToGrid w:val="0"/>
        <w:ind w:firstLine="640" w:firstLineChars="200"/>
        <w:rPr>
          <w:szCs w:val="32"/>
        </w:rPr>
      </w:pPr>
      <w:r>
        <w:rPr>
          <w:b/>
          <w:szCs w:val="32"/>
        </w:rPr>
        <w:t>持续开展专项整治。</w:t>
      </w:r>
      <w:r>
        <w:rPr>
          <w:rFonts w:hint="eastAsia"/>
          <w:szCs w:val="32"/>
        </w:rPr>
        <w:t>中央环保督察及“回头看”交办的环境信访问题全面完成整改并销号。市人大审议的</w:t>
      </w:r>
      <w:r>
        <w:rPr>
          <w:szCs w:val="32"/>
        </w:rPr>
        <w:t>51</w:t>
      </w:r>
      <w:r>
        <w:rPr>
          <w:rFonts w:hint="eastAsia"/>
          <w:szCs w:val="32"/>
        </w:rPr>
        <w:t>个突出环境问题已全部完成整改。配合环保部“帮扶组”做好</w:t>
      </w:r>
      <w:r>
        <w:rPr>
          <w:szCs w:val="32"/>
        </w:rPr>
        <w:t>VOC</w:t>
      </w:r>
      <w:r>
        <w:rPr>
          <w:rFonts w:hint="eastAsia"/>
          <w:szCs w:val="32"/>
        </w:rPr>
        <w:t>专项检查，发现</w:t>
      </w:r>
      <w:r>
        <w:rPr>
          <w:szCs w:val="32"/>
        </w:rPr>
        <w:t>148</w:t>
      </w:r>
      <w:r>
        <w:rPr>
          <w:rFonts w:hint="eastAsia"/>
          <w:szCs w:val="32"/>
        </w:rPr>
        <w:t>个跟踪督办类问题，目前已完成整改</w:t>
      </w:r>
      <w:r>
        <w:rPr>
          <w:szCs w:val="32"/>
        </w:rPr>
        <w:t>146</w:t>
      </w:r>
      <w:r>
        <w:rPr>
          <w:rFonts w:hint="eastAsia"/>
          <w:szCs w:val="32"/>
        </w:rPr>
        <w:t>个。实现全市</w:t>
      </w:r>
      <w:r>
        <w:rPr>
          <w:szCs w:val="32"/>
        </w:rPr>
        <w:t>63</w:t>
      </w:r>
      <w:r>
        <w:rPr>
          <w:rFonts w:hint="eastAsia"/>
          <w:szCs w:val="32"/>
        </w:rPr>
        <w:t>家在营加油站</w:t>
      </w:r>
      <w:r>
        <w:rPr>
          <w:szCs w:val="32"/>
        </w:rPr>
        <w:t>VOCs</w:t>
      </w:r>
      <w:r>
        <w:rPr>
          <w:rFonts w:hint="eastAsia"/>
          <w:szCs w:val="32"/>
        </w:rPr>
        <w:t>检查全覆盖。开展</w:t>
      </w:r>
      <w:r>
        <w:rPr>
          <w:rFonts w:hint="eastAsia"/>
          <w:color w:val="0D0D0D"/>
        </w:rPr>
        <w:t>长江入河排污口排查整治专项行动，</w:t>
      </w:r>
      <w:r>
        <w:rPr>
          <w:rFonts w:hint="eastAsia"/>
          <w:szCs w:val="32"/>
        </w:rPr>
        <w:t>完成全市沿江</w:t>
      </w:r>
      <w:r>
        <w:rPr>
          <w:szCs w:val="32"/>
        </w:rPr>
        <w:t>2</w:t>
      </w:r>
      <w:r>
        <w:rPr>
          <w:rFonts w:hint="eastAsia"/>
          <w:szCs w:val="32"/>
        </w:rPr>
        <w:t>公里内</w:t>
      </w:r>
      <w:r>
        <w:rPr>
          <w:szCs w:val="32"/>
        </w:rPr>
        <w:t>247</w:t>
      </w:r>
      <w:r>
        <w:rPr>
          <w:rFonts w:hint="eastAsia"/>
          <w:szCs w:val="32"/>
        </w:rPr>
        <w:t>个排污口点位现场溯源核查。对</w:t>
      </w:r>
      <w:r>
        <w:rPr>
          <w:szCs w:val="32"/>
        </w:rPr>
        <w:t>17</w:t>
      </w:r>
      <w:r>
        <w:rPr>
          <w:rFonts w:hint="eastAsia"/>
          <w:szCs w:val="32"/>
        </w:rPr>
        <w:t>家企业开展</w:t>
      </w:r>
      <w:r>
        <w:rPr>
          <w:szCs w:val="32"/>
        </w:rPr>
        <w:t>RTO</w:t>
      </w:r>
      <w:r>
        <w:rPr>
          <w:rFonts w:hint="eastAsia"/>
          <w:szCs w:val="32"/>
        </w:rPr>
        <w:t>炉及危废库安全隐患排查，对</w:t>
      </w:r>
      <w:r>
        <w:rPr>
          <w:szCs w:val="32"/>
        </w:rPr>
        <w:t>17</w:t>
      </w:r>
      <w:r>
        <w:rPr>
          <w:rFonts w:hint="eastAsia"/>
          <w:szCs w:val="32"/>
        </w:rPr>
        <w:t>家电镀企业开展专项执法检查。</w:t>
      </w:r>
    </w:p>
    <w:p w:rsidR="00B373FD">
      <w:pPr>
        <w:adjustRightInd w:val="0"/>
        <w:snapToGrid w:val="0"/>
        <w:ind w:firstLine="640" w:firstLineChars="200"/>
        <w:rPr>
          <w:szCs w:val="32"/>
        </w:rPr>
      </w:pPr>
      <w:r>
        <w:rPr>
          <w:b/>
          <w:szCs w:val="32"/>
        </w:rPr>
        <w:t>提升执法规范化水平。</w:t>
      </w:r>
      <w:r>
        <w:rPr>
          <w:szCs w:val="32"/>
        </w:rPr>
        <w:t>将环境执法大练兵贯穿于日常监</w:t>
      </w:r>
      <w:r>
        <w:rPr>
          <w:szCs w:val="32"/>
        </w:rPr>
        <w:t>管，</w:t>
      </w:r>
      <w:r w:rsidR="00AC61F2">
        <w:rPr>
          <w:rFonts w:hint="eastAsia"/>
          <w:szCs w:val="32"/>
        </w:rPr>
        <w:t>“十三五”期间，</w:t>
      </w:r>
      <w:r w:rsidRPr="00716193">
        <w:rPr>
          <w:rFonts w:hint="eastAsia"/>
          <w:kern w:val="0"/>
          <w:szCs w:val="32"/>
        </w:rPr>
        <w:t>累计出动执法人员</w:t>
      </w:r>
      <w:r w:rsidRPr="00716193">
        <w:rPr>
          <w:kern w:val="0"/>
          <w:szCs w:val="32"/>
        </w:rPr>
        <w:t>68738</w:t>
      </w:r>
      <w:r w:rsidRPr="00716193">
        <w:rPr>
          <w:rFonts w:hint="eastAsia"/>
          <w:kern w:val="0"/>
          <w:szCs w:val="32"/>
        </w:rPr>
        <w:t>人次，现场检查企业</w:t>
      </w:r>
      <w:r w:rsidRPr="00716193">
        <w:rPr>
          <w:kern w:val="0"/>
          <w:szCs w:val="32"/>
        </w:rPr>
        <w:t>27522</w:t>
      </w:r>
      <w:r w:rsidRPr="00716193">
        <w:rPr>
          <w:rFonts w:hint="eastAsia"/>
          <w:kern w:val="0"/>
          <w:szCs w:val="32"/>
        </w:rPr>
        <w:t>厂次，</w:t>
      </w:r>
      <w:r w:rsidRPr="00716193">
        <w:rPr>
          <w:rFonts w:hint="eastAsia"/>
          <w:szCs w:val="32"/>
        </w:rPr>
        <w:t>下发行政处理书</w:t>
      </w:r>
      <w:r w:rsidRPr="00716193">
        <w:rPr>
          <w:szCs w:val="32"/>
        </w:rPr>
        <w:t>1143</w:t>
      </w:r>
      <w:r w:rsidRPr="00716193">
        <w:rPr>
          <w:rFonts w:hint="eastAsia"/>
          <w:szCs w:val="32"/>
        </w:rPr>
        <w:t>件。</w:t>
      </w:r>
      <w:r>
        <w:rPr>
          <w:szCs w:val="32"/>
        </w:rPr>
        <w:t>“</w:t>
      </w:r>
      <w:r>
        <w:rPr>
          <w:szCs w:val="32"/>
        </w:rPr>
        <w:t>十三五</w:t>
      </w:r>
      <w:r>
        <w:rPr>
          <w:szCs w:val="32"/>
        </w:rPr>
        <w:t>”</w:t>
      </w:r>
      <w:r>
        <w:rPr>
          <w:szCs w:val="32"/>
        </w:rPr>
        <w:t>中后期，按照省市部署，坚持全年练兵、全员练兵、全过程练兵，着力打造一支政治强、作风硬、本领高、敢担当，特别能吃苦、特别能战斗、特别能奉献的生态环境保护执法铁军。继续落实</w:t>
      </w:r>
      <w:r>
        <w:rPr>
          <w:szCs w:val="32"/>
        </w:rPr>
        <w:t>“</w:t>
      </w:r>
      <w:r>
        <w:rPr>
          <w:szCs w:val="32"/>
        </w:rPr>
        <w:t>双随机</w:t>
      </w:r>
      <w:r>
        <w:rPr>
          <w:szCs w:val="32"/>
        </w:rPr>
        <w:t>”</w:t>
      </w:r>
      <w:r>
        <w:rPr>
          <w:szCs w:val="32"/>
        </w:rPr>
        <w:t>制度，</w:t>
      </w:r>
      <w:r>
        <w:rPr>
          <w:szCs w:val="32"/>
        </w:rPr>
        <w:t>2020</w:t>
      </w:r>
      <w:r w:rsidR="007F2D7A">
        <w:rPr>
          <w:szCs w:val="32"/>
        </w:rPr>
        <w:t>年</w:t>
      </w:r>
      <w:r>
        <w:rPr>
          <w:szCs w:val="32"/>
        </w:rPr>
        <w:t>随机抽查</w:t>
      </w:r>
      <w:r>
        <w:rPr>
          <w:szCs w:val="32"/>
        </w:rPr>
        <w:t>310</w:t>
      </w:r>
      <w:r>
        <w:rPr>
          <w:szCs w:val="32"/>
        </w:rPr>
        <w:t>家一般排污单位、</w:t>
      </w:r>
      <w:r>
        <w:rPr>
          <w:szCs w:val="32"/>
        </w:rPr>
        <w:t>277</w:t>
      </w:r>
      <w:r>
        <w:rPr>
          <w:szCs w:val="32"/>
        </w:rPr>
        <w:t>家重点排污单位，目前</w:t>
      </w:r>
      <w:r>
        <w:rPr>
          <w:szCs w:val="32"/>
        </w:rPr>
        <w:t>587</w:t>
      </w:r>
      <w:r>
        <w:rPr>
          <w:szCs w:val="32"/>
        </w:rPr>
        <w:t>家双随机检查企业情况均已进行信息公开工作。</w:t>
      </w:r>
    </w:p>
    <w:p w:rsidR="00B373FD">
      <w:pPr>
        <w:adjustRightInd w:val="0"/>
        <w:snapToGrid w:val="0"/>
        <w:ind w:firstLine="640" w:firstLineChars="200"/>
        <w:rPr>
          <w:szCs w:val="32"/>
        </w:rPr>
      </w:pPr>
      <w:r>
        <w:rPr>
          <w:b/>
          <w:szCs w:val="32"/>
        </w:rPr>
        <w:t>提高环境监测水平。</w:t>
      </w:r>
      <w:r>
        <w:rPr>
          <w:szCs w:val="32"/>
        </w:rPr>
        <w:t>开展环境监测技能竞赛，对监测人员的实验室分析能力和技术规范掌握情况进行全面考察。提升监测能力，生化需氧量、化学需氧量、粪大肠菌群和总大肠菌群</w:t>
      </w:r>
      <w:r w:rsidR="00317E8E">
        <w:rPr>
          <w:rFonts w:hint="eastAsia"/>
          <w:szCs w:val="32"/>
        </w:rPr>
        <w:t>等</w:t>
      </w:r>
      <w:r w:rsidR="00317E8E">
        <w:rPr>
          <w:szCs w:val="32"/>
        </w:rPr>
        <w:t>项目检测能力</w:t>
      </w:r>
      <w:r>
        <w:rPr>
          <w:szCs w:val="32"/>
        </w:rPr>
        <w:t>通过</w:t>
      </w:r>
      <w:r>
        <w:rPr>
          <w:szCs w:val="32"/>
        </w:rPr>
        <w:t>ERA</w:t>
      </w:r>
      <w:r>
        <w:rPr>
          <w:szCs w:val="32"/>
        </w:rPr>
        <w:t>国际能力验证。在电镀、印染行业推行</w:t>
      </w:r>
      <w:r>
        <w:rPr>
          <w:szCs w:val="32"/>
        </w:rPr>
        <w:t>IC</w:t>
      </w:r>
      <w:r>
        <w:rPr>
          <w:szCs w:val="32"/>
        </w:rPr>
        <w:t>卡超标预警及排污总量系统。</w:t>
      </w:r>
    </w:p>
    <w:p w:rsidR="00B373FD">
      <w:pPr>
        <w:numPr>
          <w:ilvl w:val="2"/>
          <w:numId w:val="4"/>
        </w:numPr>
        <w:adjustRightInd w:val="0"/>
        <w:snapToGrid w:val="0"/>
        <w:outlineLvl w:val="2"/>
        <w:rPr>
          <w:rFonts w:ascii="Times New Roman Regular" w:eastAsia="楷体_GB2312" w:hAnsi="Times New Roman Regular" w:cs="Times New Roman Regular"/>
        </w:rPr>
      </w:pPr>
      <w:r>
        <w:rPr>
          <w:rFonts w:ascii="Times New Roman Regular" w:eastAsia="楷体_GB2312" w:hAnsi="Times New Roman Regular" w:cs="Times New Roman Regular"/>
        </w:rPr>
        <w:t>生态文明建设成果显著</w:t>
      </w:r>
    </w:p>
    <w:p w:rsidR="00AC0AE4" w:rsidP="00AC0AE4">
      <w:pPr>
        <w:adjustRightInd w:val="0"/>
        <w:snapToGrid w:val="0"/>
        <w:ind w:firstLine="640" w:firstLineChars="200"/>
      </w:pPr>
      <w:r>
        <w:rPr>
          <w:b/>
          <w:szCs w:val="32"/>
        </w:rPr>
        <w:t>持续</w:t>
      </w:r>
      <w:r>
        <w:rPr>
          <w:b/>
          <w:szCs w:val="32"/>
          <w:lang w:val="zh-CN"/>
        </w:rPr>
        <w:t>推进生态文明</w:t>
      </w:r>
      <w:r>
        <w:rPr>
          <w:b/>
          <w:szCs w:val="32"/>
        </w:rPr>
        <w:t>创建</w:t>
      </w:r>
      <w:r>
        <w:rPr>
          <w:b/>
          <w:szCs w:val="32"/>
          <w:lang w:val="zh-CN"/>
        </w:rPr>
        <w:t>。</w:t>
      </w:r>
      <w:r>
        <w:rPr>
          <w:rFonts w:hint="eastAsia"/>
          <w:szCs w:val="32"/>
          <w:lang w:val="zh-CN"/>
        </w:rPr>
        <w:t>“十三五”期间，太仓市</w:t>
      </w:r>
      <w:r>
        <w:rPr>
          <w:szCs w:val="32"/>
        </w:rPr>
        <w:t>全面落实习近平生态文明思想和全国生态环境保护大会要求，统筹推进生态环境保护和经济社会高质量发展，推动生态文明建设不断迈上新台阶。</w:t>
      </w:r>
      <w:r>
        <w:rPr>
          <w:rFonts w:hint="eastAsia"/>
          <w:szCs w:val="32"/>
          <w:lang w:val="zh-CN"/>
        </w:rPr>
        <w:t>太仓市</w:t>
      </w:r>
      <w:r>
        <w:rPr>
          <w:szCs w:val="32"/>
        </w:rPr>
        <w:t>先后荣获中国人居环境奖、省级生态文明建设示范市、国家生态园林城市、国家生态文明建设示范市等称号，</w:t>
      </w:r>
      <w:r>
        <w:rPr>
          <w:rFonts w:hint="eastAsia"/>
          <w:szCs w:val="32"/>
        </w:rPr>
        <w:t>九</w:t>
      </w:r>
      <w:r>
        <w:rPr>
          <w:szCs w:val="32"/>
        </w:rPr>
        <w:t>次获评中国最具幸福感城市并连续多年蝉联县级市榜首，连续三年获得苏州市打好污染防治攻坚战考核</w:t>
      </w:r>
      <w:r>
        <w:rPr>
          <w:szCs w:val="32"/>
        </w:rPr>
        <w:t>“</w:t>
      </w:r>
      <w:r>
        <w:rPr>
          <w:szCs w:val="32"/>
        </w:rPr>
        <w:t>优秀</w:t>
      </w:r>
      <w:r>
        <w:rPr>
          <w:szCs w:val="32"/>
        </w:rPr>
        <w:t>”</w:t>
      </w:r>
      <w:r>
        <w:rPr>
          <w:szCs w:val="32"/>
        </w:rPr>
        <w:t>等次。</w:t>
      </w:r>
      <w:r>
        <w:t>建成省级生态文明示范乡镇（街道）</w:t>
      </w:r>
      <w:r>
        <w:t>6</w:t>
      </w:r>
      <w:r>
        <w:t>个、省级生态文明示范村（社区）</w:t>
      </w:r>
      <w:r>
        <w:t>7</w:t>
      </w:r>
      <w:r>
        <w:t>个。</w:t>
      </w:r>
    </w:p>
    <w:p w:rsidR="00B373FD">
      <w:pPr>
        <w:pStyle w:val="-"/>
        <w:spacing w:line="560" w:lineRule="exact"/>
        <w:ind w:firstLine="643"/>
        <w:rPr>
          <w:lang w:val="zh-CN"/>
        </w:rPr>
      </w:pPr>
      <w:r>
        <w:rPr>
          <w:b/>
          <w:lang w:val="zh-CN"/>
        </w:rPr>
        <w:t>加快美丽乡村建设。</w:t>
      </w:r>
      <w:r>
        <w:rPr>
          <w:lang w:val="zh-CN"/>
        </w:rPr>
        <w:t>按照</w:t>
      </w:r>
      <w:r>
        <w:rPr>
          <w:lang w:val="zh-CN"/>
        </w:rPr>
        <w:t>“</w:t>
      </w:r>
      <w:r>
        <w:rPr>
          <w:lang w:val="zh-CN"/>
        </w:rPr>
        <w:t>六个更加注重</w:t>
      </w:r>
      <w:r>
        <w:rPr>
          <w:lang w:val="zh-CN"/>
        </w:rPr>
        <w:t>”</w:t>
      </w:r>
      <w:r>
        <w:rPr>
          <w:lang w:val="zh-CN"/>
        </w:rPr>
        <w:t>的建设要求，</w:t>
      </w:r>
      <w:r>
        <w:rPr>
          <w:lang w:val="zh-CN"/>
        </w:rPr>
        <w:t>打造出一批</w:t>
      </w:r>
      <w:r>
        <w:rPr>
          <w:lang w:val="zh-CN"/>
        </w:rPr>
        <w:t>“</w:t>
      </w:r>
      <w:r>
        <w:rPr>
          <w:lang w:val="zh-CN"/>
        </w:rPr>
        <w:t>生态优、村庄美、产业特、集体强、农民富、乡风好</w:t>
      </w:r>
      <w:r>
        <w:rPr>
          <w:lang w:val="zh-CN"/>
        </w:rPr>
        <w:t>”</w:t>
      </w:r>
      <w:r>
        <w:rPr>
          <w:lang w:val="zh-CN"/>
        </w:rPr>
        <w:t>的美丽村庄，</w:t>
      </w:r>
      <w:r w:rsidR="00317E8E">
        <w:rPr>
          <w:rFonts w:hint="eastAsia"/>
          <w:lang w:val="zh-CN"/>
        </w:rPr>
        <w:t>全市“十三五”期间建成苏州市三星级康居乡村</w:t>
      </w:r>
      <w:r w:rsidR="00317E8E">
        <w:rPr>
          <w:rFonts w:hint="eastAsia"/>
          <w:lang w:val="zh-CN"/>
        </w:rPr>
        <w:t>2</w:t>
      </w:r>
      <w:r w:rsidR="00317E8E">
        <w:rPr>
          <w:lang w:val="zh-CN"/>
        </w:rPr>
        <w:t>37</w:t>
      </w:r>
      <w:r w:rsidR="00317E8E">
        <w:rPr>
          <w:lang w:val="zh-CN"/>
        </w:rPr>
        <w:t>个</w:t>
      </w:r>
      <w:r w:rsidR="00317E8E">
        <w:rPr>
          <w:rFonts w:hint="eastAsia"/>
          <w:lang w:val="zh-CN"/>
        </w:rPr>
        <w:t>，</w:t>
      </w:r>
      <w:r w:rsidR="00317E8E">
        <w:rPr>
          <w:lang w:val="zh-CN"/>
        </w:rPr>
        <w:t>康居特色村</w:t>
      </w:r>
      <w:r w:rsidR="00317E8E">
        <w:rPr>
          <w:rFonts w:hint="eastAsia"/>
          <w:lang w:val="zh-CN"/>
        </w:rPr>
        <w:t>6</w:t>
      </w:r>
      <w:r w:rsidR="00317E8E">
        <w:rPr>
          <w:rFonts w:hint="eastAsia"/>
          <w:lang w:val="zh-CN"/>
        </w:rPr>
        <w:t>个。</w:t>
      </w:r>
      <w:r>
        <w:rPr>
          <w:lang w:val="zh-CN"/>
        </w:rPr>
        <w:t>全市田园城市形态、城乡环境面貌明显改观，农村居民获得幸福感明显提升。</w:t>
      </w:r>
    </w:p>
    <w:p w:rsidR="00B373FD">
      <w:pPr>
        <w:widowControl/>
        <w:adjustRightInd w:val="0"/>
        <w:snapToGrid w:val="0"/>
        <w:ind w:firstLine="640" w:firstLineChars="200"/>
        <w:rPr>
          <w:szCs w:val="32"/>
        </w:rPr>
      </w:pPr>
      <w:r>
        <w:rPr>
          <w:b/>
          <w:bCs/>
          <w:szCs w:val="32"/>
        </w:rPr>
        <w:t>开展生态文明宣传工作。</w:t>
      </w:r>
      <w:r w:rsidRPr="00317E8E" w:rsidR="00317E8E">
        <w:rPr>
          <w:rFonts w:hint="eastAsia"/>
          <w:szCs w:val="32"/>
        </w:rPr>
        <w:t>开展“六五”世界环境日系列活动。开展“美丽中国</w:t>
      </w:r>
      <w:r w:rsidRPr="00317E8E" w:rsidR="00317E8E">
        <w:rPr>
          <w:rFonts w:hint="eastAsia"/>
          <w:szCs w:val="32"/>
        </w:rPr>
        <w:t xml:space="preserve"> </w:t>
      </w:r>
      <w:r w:rsidRPr="00317E8E" w:rsidR="00317E8E">
        <w:rPr>
          <w:rFonts w:hint="eastAsia"/>
          <w:szCs w:val="32"/>
        </w:rPr>
        <w:t>我是行动者”知识竞赛活动，共计</w:t>
      </w:r>
      <w:r w:rsidRPr="00317E8E" w:rsidR="00317E8E">
        <w:rPr>
          <w:rFonts w:hint="eastAsia"/>
          <w:szCs w:val="32"/>
        </w:rPr>
        <w:t>2</w:t>
      </w:r>
      <w:r w:rsidRPr="00317E8E" w:rsidR="00317E8E">
        <w:rPr>
          <w:rFonts w:hint="eastAsia"/>
          <w:szCs w:val="32"/>
        </w:rPr>
        <w:t>万多人参与。在苏州日报、太仓日报刊登生态环境建设工作成果展示专版，在太仓新闻频道投放为期一个月的公益广告，在</w:t>
      </w:r>
      <w:r w:rsidRPr="00317E8E" w:rsidR="00317E8E">
        <w:rPr>
          <w:rFonts w:hint="eastAsia"/>
          <w:szCs w:val="32"/>
        </w:rPr>
        <w:t>19</w:t>
      </w:r>
      <w:r w:rsidRPr="00317E8E" w:rsidR="00317E8E">
        <w:rPr>
          <w:rFonts w:hint="eastAsia"/>
          <w:szCs w:val="32"/>
        </w:rPr>
        <w:t>个社区电子屏投放公益广告，推送</w:t>
      </w:r>
      <w:r w:rsidRPr="00317E8E" w:rsidR="00317E8E">
        <w:rPr>
          <w:rFonts w:hint="eastAsia"/>
          <w:szCs w:val="32"/>
        </w:rPr>
        <w:t>5000</w:t>
      </w:r>
      <w:r w:rsidRPr="00317E8E" w:rsidR="00317E8E">
        <w:rPr>
          <w:rFonts w:hint="eastAsia"/>
          <w:szCs w:val="32"/>
        </w:rPr>
        <w:t>条环保公益短信。进一步增强市民的环境保护意识和环保法制观念，推动全社会积极参与生态环境保护，加快形成绿色生产方式和生活方式。</w:t>
      </w:r>
    </w:p>
    <w:p w:rsidR="00B373FD">
      <w:pPr>
        <w:pStyle w:val="a5"/>
        <w:numPr>
          <w:ilvl w:val="1"/>
          <w:numId w:val="4"/>
        </w:numPr>
        <w:ind w:firstLineChars="0"/>
        <w:rPr>
          <w:rFonts w:ascii="Times New Roman Regular" w:hAnsi="Times New Roman Regular" w:cs="Times New Roman Regular"/>
        </w:rPr>
      </w:pPr>
      <w:bookmarkStart w:id="33" w:name="_Toc77862693"/>
      <w:r>
        <w:rPr>
          <w:rFonts w:ascii="Times New Roman Regular" w:hAnsi="Times New Roman Regular" w:cs="Times New Roman Regular"/>
        </w:rPr>
        <w:t>“</w:t>
      </w:r>
      <w:r>
        <w:rPr>
          <w:rFonts w:ascii="Times New Roman Regular" w:hAnsi="Times New Roman Regular" w:cs="Times New Roman Regular"/>
        </w:rPr>
        <w:t>十三五</w:t>
      </w:r>
      <w:r>
        <w:rPr>
          <w:rFonts w:ascii="Times New Roman Regular" w:hAnsi="Times New Roman Regular" w:cs="Times New Roman Regular"/>
        </w:rPr>
        <w:t>”</w:t>
      </w:r>
      <w:r>
        <w:rPr>
          <w:rFonts w:ascii="Times New Roman Regular" w:hAnsi="Times New Roman Regular" w:cs="Times New Roman Regular"/>
        </w:rPr>
        <w:t>指标完成情况</w:t>
      </w:r>
      <w:bookmarkEnd w:id="33"/>
    </w:p>
    <w:p w:rsidR="00B373FD">
      <w:pPr>
        <w:adjustRightInd w:val="0"/>
        <w:snapToGrid w:val="0"/>
        <w:ind w:firstLine="640" w:firstLineChars="200"/>
        <w:rPr>
          <w:rFonts w:ascii="Times New Roman Regular" w:hAnsi="Times New Roman Regular" w:cs="Times New Roman Regular"/>
        </w:rPr>
      </w:pPr>
      <w:r>
        <w:rPr>
          <w:rFonts w:ascii="Times New Roman Regular" w:hAnsi="Times New Roman Regular" w:cs="Times New Roman Regular"/>
        </w:rPr>
        <w:t>“</w:t>
      </w:r>
      <w:r>
        <w:rPr>
          <w:rFonts w:ascii="Times New Roman Regular" w:hAnsi="Times New Roman Regular" w:cs="Times New Roman Regular"/>
        </w:rPr>
        <w:t>十三五</w:t>
      </w:r>
      <w:r>
        <w:rPr>
          <w:rFonts w:ascii="Times New Roman Regular" w:hAnsi="Times New Roman Regular" w:cs="Times New Roman Regular"/>
        </w:rPr>
        <w:t>”</w:t>
      </w:r>
      <w:r>
        <w:rPr>
          <w:rFonts w:ascii="Times New Roman Regular" w:hAnsi="Times New Roman Regular" w:cs="Times New Roman Regular"/>
        </w:rPr>
        <w:t>规划共设置水环境指标</w:t>
      </w:r>
      <w:r>
        <w:rPr>
          <w:rFonts w:ascii="Times New Roman Regular" w:hAnsi="Times New Roman Regular" w:cs="Times New Roman Regular"/>
        </w:rPr>
        <w:t>7</w:t>
      </w:r>
      <w:r>
        <w:rPr>
          <w:rFonts w:ascii="Times New Roman Regular" w:hAnsi="Times New Roman Regular" w:cs="Times New Roman Regular"/>
        </w:rPr>
        <w:t>项、空气环境指标</w:t>
      </w:r>
      <w:r>
        <w:rPr>
          <w:rFonts w:ascii="Times New Roman Regular" w:hAnsi="Times New Roman Regular" w:cs="Times New Roman Regular"/>
        </w:rPr>
        <w:t>6</w:t>
      </w:r>
      <w:r>
        <w:rPr>
          <w:rFonts w:ascii="Times New Roman Regular" w:hAnsi="Times New Roman Regular" w:cs="Times New Roman Regular"/>
        </w:rPr>
        <w:t>项、土壤环境指标</w:t>
      </w:r>
      <w:r>
        <w:rPr>
          <w:rFonts w:ascii="Times New Roman Regular" w:hAnsi="Times New Roman Regular" w:cs="Times New Roman Regular"/>
        </w:rPr>
        <w:t>2</w:t>
      </w:r>
      <w:r>
        <w:rPr>
          <w:rFonts w:ascii="Times New Roman Regular" w:hAnsi="Times New Roman Regular" w:cs="Times New Roman Regular"/>
        </w:rPr>
        <w:t>项、声环境指标</w:t>
      </w:r>
      <w:r>
        <w:rPr>
          <w:rFonts w:ascii="Times New Roman Regular" w:hAnsi="Times New Roman Regular" w:cs="Times New Roman Regular"/>
        </w:rPr>
        <w:t>1</w:t>
      </w:r>
      <w:r>
        <w:rPr>
          <w:rFonts w:ascii="Times New Roman Regular" w:hAnsi="Times New Roman Regular" w:cs="Times New Roman Regular"/>
        </w:rPr>
        <w:t>项、生态系统指标</w:t>
      </w:r>
      <w:r>
        <w:rPr>
          <w:rFonts w:ascii="Times New Roman Regular" w:hAnsi="Times New Roman Regular" w:cs="Times New Roman Regular"/>
        </w:rPr>
        <w:t>4</w:t>
      </w:r>
      <w:r>
        <w:rPr>
          <w:rFonts w:ascii="Times New Roman Regular" w:hAnsi="Times New Roman Regular" w:cs="Times New Roman Regular"/>
        </w:rPr>
        <w:t>项、污染治理指标</w:t>
      </w:r>
      <w:r>
        <w:rPr>
          <w:rFonts w:ascii="Times New Roman Regular" w:hAnsi="Times New Roman Regular" w:cs="Times New Roman Regular"/>
        </w:rPr>
        <w:t>3</w:t>
      </w:r>
      <w:r>
        <w:rPr>
          <w:rFonts w:ascii="Times New Roman Regular" w:hAnsi="Times New Roman Regular" w:cs="Times New Roman Regular"/>
        </w:rPr>
        <w:t>项、经济环境指标</w:t>
      </w:r>
      <w:r>
        <w:rPr>
          <w:rFonts w:ascii="Times New Roman Regular" w:hAnsi="Times New Roman Regular" w:cs="Times New Roman Regular"/>
        </w:rPr>
        <w:t>2</w:t>
      </w:r>
      <w:r>
        <w:rPr>
          <w:rFonts w:ascii="Times New Roman Regular" w:hAnsi="Times New Roman Regular" w:cs="Times New Roman Regular"/>
        </w:rPr>
        <w:t>项和满意率指标</w:t>
      </w:r>
      <w:r>
        <w:rPr>
          <w:rFonts w:ascii="Times New Roman Regular" w:hAnsi="Times New Roman Regular" w:cs="Times New Roman Regular"/>
        </w:rPr>
        <w:t>1</w:t>
      </w:r>
      <w:r>
        <w:rPr>
          <w:rFonts w:ascii="Times New Roman Regular" w:hAnsi="Times New Roman Regular" w:cs="Times New Roman Regular"/>
        </w:rPr>
        <w:t>项，共八类</w:t>
      </w:r>
      <w:r>
        <w:rPr>
          <w:rFonts w:ascii="Times New Roman Regular" w:hAnsi="Times New Roman Regular" w:cs="Times New Roman Regular"/>
        </w:rPr>
        <w:t>26</w:t>
      </w:r>
      <w:r>
        <w:rPr>
          <w:rFonts w:ascii="Times New Roman Regular" w:hAnsi="Times New Roman Regular" w:cs="Times New Roman Regular"/>
        </w:rPr>
        <w:t>个指标。截止到</w:t>
      </w:r>
      <w:r>
        <w:rPr>
          <w:rFonts w:ascii="Times New Roman Regular" w:hAnsi="Times New Roman Regular" w:cs="Times New Roman Regular"/>
        </w:rPr>
        <w:t>2020</w:t>
      </w:r>
      <w:r>
        <w:rPr>
          <w:rFonts w:ascii="Times New Roman Regular" w:hAnsi="Times New Roman Regular" w:cs="Times New Roman Regular"/>
        </w:rPr>
        <w:t>年底，</w:t>
      </w:r>
      <w:r>
        <w:rPr>
          <w:rFonts w:ascii="Times New Roman Regular" w:hAnsi="Times New Roman Regular" w:cs="Times New Roman Regular"/>
        </w:rPr>
        <w:t>25</w:t>
      </w:r>
      <w:r>
        <w:rPr>
          <w:rFonts w:ascii="Times New Roman Regular" w:hAnsi="Times New Roman Regular" w:cs="Times New Roman Regular"/>
        </w:rPr>
        <w:t>项指标已</w:t>
      </w:r>
      <w:r w:rsidR="007F2D7A">
        <w:rPr>
          <w:rFonts w:ascii="Times New Roman Regular" w:hAnsi="Times New Roman Regular" w:cs="Times New Roman Regular" w:hint="eastAsia"/>
        </w:rPr>
        <w:t>完成</w:t>
      </w:r>
      <w:r w:rsidR="007F2D7A">
        <w:rPr>
          <w:rFonts w:ascii="Times New Roman Regular" w:hAnsi="Times New Roman Regular" w:cs="Times New Roman Regular"/>
        </w:rPr>
        <w:t>指标要求</w:t>
      </w:r>
      <w:r>
        <w:rPr>
          <w:rFonts w:ascii="Times New Roman Regular" w:hAnsi="Times New Roman Regular" w:cs="Times New Roman Regular"/>
        </w:rPr>
        <w:t>，具体完成情况见表</w:t>
      </w:r>
      <w:r>
        <w:rPr>
          <w:rFonts w:ascii="Times New Roman Regular" w:hAnsi="Times New Roman Regular" w:cs="Times New Roman Regular"/>
        </w:rPr>
        <w:t>3-1</w:t>
      </w:r>
      <w:r>
        <w:rPr>
          <w:rFonts w:ascii="Times New Roman Regular" w:hAnsi="Times New Roman Regular" w:cs="Times New Roman Regular"/>
        </w:rPr>
        <w:t>。</w:t>
      </w:r>
    </w:p>
    <w:p w:rsidR="00317E8E">
      <w:pPr>
        <w:adjustRightInd w:val="0"/>
        <w:snapToGrid w:val="0"/>
        <w:spacing w:after="156" w:afterLines="50"/>
        <w:ind w:firstLine="640" w:firstLineChars="200"/>
        <w:jc w:val="center"/>
        <w:rPr>
          <w:rFonts w:ascii="Times New Roman Regular" w:eastAsia="黑体" w:hAnsi="Times New Roman Regular" w:cs="Times New Roman Regular"/>
          <w:sz w:val="28"/>
          <w:szCs w:val="28"/>
        </w:rPr>
      </w:pPr>
    </w:p>
    <w:p w:rsidR="00AC0AE4" w:rsidRPr="00AC0AE4" w:rsidP="00AC0AE4">
      <w:pPr>
        <w:pStyle w:val="NoteHeading"/>
      </w:pPr>
    </w:p>
    <w:p w:rsidR="00317E8E">
      <w:pPr>
        <w:adjustRightInd w:val="0"/>
        <w:snapToGrid w:val="0"/>
        <w:spacing w:after="156" w:afterLines="50"/>
        <w:ind w:firstLine="640" w:firstLineChars="200"/>
        <w:jc w:val="center"/>
        <w:rPr>
          <w:rFonts w:ascii="Times New Roman Regular" w:eastAsia="黑体" w:hAnsi="Times New Roman Regular" w:cs="Times New Roman Regular"/>
          <w:sz w:val="28"/>
          <w:szCs w:val="28"/>
        </w:rPr>
      </w:pPr>
    </w:p>
    <w:p w:rsidR="00317E8E">
      <w:pPr>
        <w:adjustRightInd w:val="0"/>
        <w:snapToGrid w:val="0"/>
        <w:spacing w:after="156" w:afterLines="50"/>
        <w:ind w:firstLine="640" w:firstLineChars="200"/>
        <w:jc w:val="center"/>
        <w:rPr>
          <w:rFonts w:ascii="Times New Roman Regular" w:eastAsia="黑体" w:hAnsi="Times New Roman Regular" w:cs="Times New Roman Regular"/>
          <w:sz w:val="28"/>
          <w:szCs w:val="28"/>
        </w:rPr>
      </w:pPr>
    </w:p>
    <w:p w:rsidR="00317E8E">
      <w:pPr>
        <w:adjustRightInd w:val="0"/>
        <w:snapToGrid w:val="0"/>
        <w:spacing w:after="156" w:afterLines="50"/>
        <w:ind w:firstLine="640" w:firstLineChars="200"/>
        <w:jc w:val="center"/>
        <w:rPr>
          <w:rFonts w:ascii="Times New Roman Regular" w:eastAsia="黑体" w:hAnsi="Times New Roman Regular" w:cs="Times New Roman Regular"/>
          <w:sz w:val="28"/>
          <w:szCs w:val="28"/>
        </w:rPr>
      </w:pPr>
    </w:p>
    <w:p w:rsidR="00B373FD">
      <w:pPr>
        <w:adjustRightInd w:val="0"/>
        <w:snapToGrid w:val="0"/>
        <w:spacing w:after="156" w:afterLines="50"/>
        <w:ind w:firstLine="640" w:firstLineChars="200"/>
        <w:jc w:val="center"/>
        <w:rPr>
          <w:rFonts w:ascii="Times New Roman Regular" w:eastAsia="黑体" w:hAnsi="Times New Roman Regular" w:cs="Times New Roman Regular"/>
          <w:sz w:val="28"/>
          <w:szCs w:val="28"/>
        </w:rPr>
      </w:pPr>
      <w:r>
        <w:rPr>
          <w:rFonts w:ascii="Times New Roman Regular" w:eastAsia="黑体" w:hAnsi="Times New Roman Regular" w:cs="Times New Roman Regular"/>
          <w:sz w:val="28"/>
          <w:szCs w:val="28"/>
        </w:rPr>
        <w:t>表</w:t>
      </w:r>
      <w:r>
        <w:rPr>
          <w:rFonts w:ascii="Times New Roman Regular" w:eastAsia="黑体" w:hAnsi="Times New Roman Regular" w:cs="Times New Roman Regular"/>
          <w:sz w:val="28"/>
          <w:szCs w:val="28"/>
        </w:rPr>
        <w:t>3-1 “</w:t>
      </w:r>
      <w:r>
        <w:rPr>
          <w:rFonts w:ascii="Times New Roman Regular" w:eastAsia="黑体" w:hAnsi="Times New Roman Regular" w:cs="Times New Roman Regular"/>
          <w:sz w:val="28"/>
          <w:szCs w:val="28"/>
        </w:rPr>
        <w:t>十三五</w:t>
      </w:r>
      <w:r>
        <w:rPr>
          <w:rFonts w:ascii="Times New Roman Regular" w:eastAsia="黑体" w:hAnsi="Times New Roman Regular" w:cs="Times New Roman Regular"/>
          <w:sz w:val="28"/>
          <w:szCs w:val="28"/>
        </w:rPr>
        <w:t>”</w:t>
      </w:r>
      <w:r>
        <w:rPr>
          <w:rFonts w:ascii="Times New Roman Regular" w:eastAsia="黑体" w:hAnsi="Times New Roman Regular" w:cs="Times New Roman Regular"/>
          <w:sz w:val="28"/>
          <w:szCs w:val="28"/>
        </w:rPr>
        <w:t>规划指标完成情况统计表</w:t>
      </w:r>
    </w:p>
    <w:tbl>
      <w:tblPr>
        <w:tblW w:w="50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558"/>
        <w:gridCol w:w="1820"/>
        <w:gridCol w:w="306"/>
        <w:gridCol w:w="2086"/>
        <w:gridCol w:w="668"/>
        <w:gridCol w:w="1063"/>
        <w:gridCol w:w="1029"/>
        <w:gridCol w:w="826"/>
      </w:tblGrid>
      <w:tr>
        <w:tblPrEx>
          <w:tblW w:w="50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Ex>
        <w:trPr>
          <w:trHeight w:hRule="exact" w:val="1037"/>
          <w:tblHeader/>
          <w:jc w:val="center"/>
        </w:trPr>
        <w:tc>
          <w:tcPr>
            <w:tcW w:w="333" w:type="pct"/>
            <w:vAlign w:val="center"/>
          </w:tcPr>
          <w:p w:rsidR="00B373FD">
            <w:pPr>
              <w:adjustRightInd w:val="0"/>
              <w:snapToGrid w:val="0"/>
              <w:spacing w:line="240" w:lineRule="auto"/>
              <w:jc w:val="center"/>
              <w:rPr>
                <w:rFonts w:eastAsia="宋体"/>
                <w:b/>
                <w:bCs/>
                <w:sz w:val="24"/>
                <w:szCs w:val="24"/>
              </w:rPr>
            </w:pPr>
            <w:r>
              <w:rPr>
                <w:rFonts w:eastAsia="宋体"/>
                <w:b/>
                <w:bCs/>
                <w:sz w:val="24"/>
                <w:szCs w:val="24"/>
              </w:rPr>
              <w:t>类别</w:t>
            </w:r>
          </w:p>
        </w:tc>
        <w:tc>
          <w:tcPr>
            <w:tcW w:w="2518" w:type="pct"/>
            <w:gridSpan w:val="3"/>
            <w:vAlign w:val="center"/>
          </w:tcPr>
          <w:p w:rsidR="00B373FD">
            <w:pPr>
              <w:adjustRightInd w:val="0"/>
              <w:snapToGrid w:val="0"/>
              <w:spacing w:line="240" w:lineRule="auto"/>
              <w:jc w:val="center"/>
              <w:rPr>
                <w:rFonts w:eastAsia="宋体"/>
                <w:b/>
                <w:bCs/>
                <w:sz w:val="24"/>
                <w:szCs w:val="24"/>
              </w:rPr>
            </w:pPr>
            <w:r>
              <w:rPr>
                <w:rFonts w:eastAsia="宋体"/>
                <w:b/>
                <w:bCs/>
                <w:sz w:val="24"/>
                <w:szCs w:val="24"/>
              </w:rPr>
              <w:t>项</w:t>
            </w:r>
            <w:r>
              <w:rPr>
                <w:rFonts w:eastAsia="宋体"/>
                <w:b/>
                <w:bCs/>
                <w:sz w:val="24"/>
                <w:szCs w:val="24"/>
              </w:rPr>
              <w:t xml:space="preserve">    </w:t>
            </w:r>
            <w:r>
              <w:rPr>
                <w:rFonts w:eastAsia="宋体"/>
                <w:b/>
                <w:bCs/>
                <w:sz w:val="24"/>
                <w:szCs w:val="24"/>
              </w:rPr>
              <w:t>目</w:t>
            </w:r>
          </w:p>
        </w:tc>
        <w:tc>
          <w:tcPr>
            <w:tcW w:w="400" w:type="pct"/>
            <w:vAlign w:val="center"/>
          </w:tcPr>
          <w:p w:rsidR="00B373FD">
            <w:pPr>
              <w:adjustRightInd w:val="0"/>
              <w:snapToGrid w:val="0"/>
              <w:spacing w:line="240" w:lineRule="auto"/>
              <w:jc w:val="center"/>
              <w:rPr>
                <w:rFonts w:eastAsia="宋体"/>
                <w:b/>
                <w:bCs/>
                <w:sz w:val="24"/>
                <w:szCs w:val="24"/>
              </w:rPr>
            </w:pPr>
            <w:r>
              <w:rPr>
                <w:rFonts w:eastAsia="宋体"/>
                <w:b/>
                <w:bCs/>
                <w:sz w:val="24"/>
                <w:szCs w:val="24"/>
              </w:rPr>
              <w:t>单</w:t>
            </w:r>
            <w:r>
              <w:rPr>
                <w:rFonts w:eastAsia="宋体"/>
                <w:b/>
                <w:bCs/>
                <w:sz w:val="24"/>
                <w:szCs w:val="24"/>
              </w:rPr>
              <w:t xml:space="preserve"> </w:t>
            </w:r>
            <w:r>
              <w:rPr>
                <w:rFonts w:eastAsia="宋体"/>
                <w:b/>
                <w:bCs/>
                <w:sz w:val="24"/>
                <w:szCs w:val="24"/>
              </w:rPr>
              <w:t>位</w:t>
            </w:r>
          </w:p>
        </w:tc>
        <w:tc>
          <w:tcPr>
            <w:tcW w:w="636" w:type="pct"/>
            <w:vAlign w:val="center"/>
          </w:tcPr>
          <w:p w:rsidR="00B373FD">
            <w:pPr>
              <w:adjustRightInd w:val="0"/>
              <w:snapToGrid w:val="0"/>
              <w:spacing w:line="240" w:lineRule="auto"/>
              <w:jc w:val="center"/>
              <w:rPr>
                <w:rFonts w:eastAsia="宋体"/>
                <w:b/>
                <w:bCs/>
                <w:sz w:val="24"/>
                <w:szCs w:val="24"/>
              </w:rPr>
            </w:pPr>
            <w:r>
              <w:rPr>
                <w:rFonts w:eastAsia="宋体"/>
                <w:b/>
                <w:bCs/>
                <w:sz w:val="24"/>
                <w:szCs w:val="24"/>
              </w:rPr>
              <w:t>2020</w:t>
            </w:r>
            <w:r>
              <w:rPr>
                <w:rFonts w:eastAsia="宋体"/>
                <w:b/>
                <w:bCs/>
                <w:sz w:val="24"/>
                <w:szCs w:val="24"/>
              </w:rPr>
              <w:t>年</w:t>
            </w:r>
          </w:p>
          <w:p w:rsidR="00B373FD">
            <w:pPr>
              <w:adjustRightInd w:val="0"/>
              <w:snapToGrid w:val="0"/>
              <w:spacing w:line="240" w:lineRule="auto"/>
              <w:jc w:val="center"/>
              <w:rPr>
                <w:rFonts w:eastAsia="宋体"/>
                <w:b/>
                <w:bCs/>
                <w:sz w:val="24"/>
                <w:szCs w:val="24"/>
              </w:rPr>
            </w:pPr>
            <w:r>
              <w:rPr>
                <w:rFonts w:eastAsia="宋体"/>
                <w:b/>
                <w:bCs/>
                <w:sz w:val="24"/>
                <w:szCs w:val="24"/>
              </w:rPr>
              <w:t>目标值</w:t>
            </w:r>
          </w:p>
        </w:tc>
        <w:tc>
          <w:tcPr>
            <w:tcW w:w="616" w:type="pct"/>
            <w:vAlign w:val="center"/>
          </w:tcPr>
          <w:p w:rsidR="00B373FD">
            <w:pPr>
              <w:adjustRightInd w:val="0"/>
              <w:snapToGrid w:val="0"/>
              <w:spacing w:line="240" w:lineRule="auto"/>
              <w:jc w:val="center"/>
              <w:rPr>
                <w:rFonts w:eastAsia="宋体"/>
                <w:b/>
                <w:bCs/>
                <w:sz w:val="24"/>
                <w:szCs w:val="24"/>
              </w:rPr>
            </w:pPr>
            <w:r>
              <w:rPr>
                <w:rFonts w:eastAsia="宋体"/>
                <w:b/>
                <w:bCs/>
                <w:sz w:val="24"/>
                <w:szCs w:val="24"/>
              </w:rPr>
              <w:t>2020</w:t>
            </w:r>
            <w:r>
              <w:rPr>
                <w:rFonts w:eastAsia="宋体"/>
                <w:b/>
                <w:bCs/>
                <w:sz w:val="24"/>
                <w:szCs w:val="24"/>
              </w:rPr>
              <w:t>年</w:t>
            </w:r>
          </w:p>
          <w:p w:rsidR="00B373FD">
            <w:pPr>
              <w:adjustRightInd w:val="0"/>
              <w:snapToGrid w:val="0"/>
              <w:spacing w:line="240" w:lineRule="auto"/>
              <w:jc w:val="center"/>
              <w:rPr>
                <w:rFonts w:eastAsia="宋体"/>
                <w:b/>
                <w:bCs/>
                <w:sz w:val="24"/>
                <w:szCs w:val="24"/>
              </w:rPr>
            </w:pPr>
            <w:r>
              <w:rPr>
                <w:rFonts w:eastAsia="宋体"/>
                <w:b/>
                <w:bCs/>
                <w:sz w:val="24"/>
                <w:szCs w:val="24"/>
              </w:rPr>
              <w:t>现状值</w:t>
            </w:r>
          </w:p>
        </w:tc>
        <w:tc>
          <w:tcPr>
            <w:tcW w:w="494" w:type="pct"/>
            <w:vAlign w:val="center"/>
          </w:tcPr>
          <w:p w:rsidR="00B373FD">
            <w:pPr>
              <w:adjustRightInd w:val="0"/>
              <w:snapToGrid w:val="0"/>
              <w:spacing w:line="240" w:lineRule="auto"/>
              <w:jc w:val="center"/>
              <w:rPr>
                <w:rFonts w:eastAsia="宋体"/>
                <w:b/>
                <w:bCs/>
                <w:sz w:val="24"/>
                <w:szCs w:val="24"/>
              </w:rPr>
            </w:pPr>
            <w:r>
              <w:rPr>
                <w:rFonts w:eastAsia="宋体" w:hint="eastAsia"/>
                <w:b/>
                <w:bCs/>
                <w:sz w:val="24"/>
                <w:szCs w:val="24"/>
              </w:rPr>
              <w:t>完成</w:t>
            </w:r>
          </w:p>
          <w:p w:rsidR="00B373FD">
            <w:pPr>
              <w:adjustRightInd w:val="0"/>
              <w:snapToGrid w:val="0"/>
              <w:spacing w:line="240" w:lineRule="auto"/>
              <w:jc w:val="center"/>
              <w:rPr>
                <w:rFonts w:eastAsia="宋体"/>
                <w:b/>
                <w:bCs/>
                <w:sz w:val="24"/>
                <w:szCs w:val="24"/>
              </w:rPr>
            </w:pPr>
            <w:r>
              <w:rPr>
                <w:rFonts w:eastAsia="宋体"/>
                <w:b/>
                <w:bCs/>
                <w:sz w:val="24"/>
                <w:szCs w:val="24"/>
              </w:rPr>
              <w:t>情况</w:t>
            </w:r>
          </w:p>
        </w:tc>
      </w:tr>
      <w:tr>
        <w:tblPrEx>
          <w:tblW w:w="5036" w:type="pct"/>
          <w:jc w:val="center"/>
          <w:tblLayout w:type="fixed"/>
          <w:tblCellMar>
            <w:left w:w="0" w:type="dxa"/>
            <w:right w:w="0" w:type="dxa"/>
          </w:tblCellMar>
          <w:tblLook w:val="04A0"/>
        </w:tblPrEx>
        <w:trPr>
          <w:cantSplit/>
          <w:trHeight w:hRule="exact" w:val="567"/>
          <w:jc w:val="center"/>
        </w:trPr>
        <w:tc>
          <w:tcPr>
            <w:tcW w:w="333" w:type="pct"/>
            <w:vMerge w:val="restart"/>
            <w:textDirection w:val="tbRlV"/>
            <w:vAlign w:val="center"/>
          </w:tcPr>
          <w:p w:rsidR="00B373FD">
            <w:pPr>
              <w:adjustRightInd w:val="0"/>
              <w:snapToGrid w:val="0"/>
              <w:spacing w:line="240" w:lineRule="auto"/>
              <w:jc w:val="center"/>
              <w:rPr>
                <w:rFonts w:eastAsia="宋体"/>
                <w:bCs/>
                <w:sz w:val="24"/>
                <w:szCs w:val="24"/>
              </w:rPr>
            </w:pPr>
            <w:r>
              <w:rPr>
                <w:rFonts w:eastAsia="宋体"/>
                <w:bCs/>
                <w:sz w:val="24"/>
                <w:szCs w:val="24"/>
              </w:rPr>
              <w:t>水</w:t>
            </w:r>
            <w:r w:rsidR="00C82635">
              <w:rPr>
                <w:rFonts w:eastAsia="宋体"/>
                <w:bCs/>
                <w:sz w:val="24"/>
                <w:szCs w:val="24"/>
              </w:rPr>
              <w:t>环境</w:t>
            </w:r>
          </w:p>
        </w:tc>
        <w:tc>
          <w:tcPr>
            <w:tcW w:w="2518" w:type="pct"/>
            <w:gridSpan w:val="3"/>
            <w:vAlign w:val="center"/>
          </w:tcPr>
          <w:p w:rsidR="00B373FD">
            <w:pPr>
              <w:adjustRightInd w:val="0"/>
              <w:snapToGrid w:val="0"/>
              <w:spacing w:line="240" w:lineRule="auto"/>
              <w:rPr>
                <w:rFonts w:eastAsia="宋体"/>
                <w:bCs/>
                <w:sz w:val="24"/>
                <w:szCs w:val="24"/>
              </w:rPr>
            </w:pPr>
            <w:r>
              <w:rPr>
                <w:rFonts w:eastAsia="宋体"/>
                <w:bCs/>
                <w:sz w:val="24"/>
                <w:szCs w:val="24"/>
              </w:rPr>
              <w:t>1.</w:t>
            </w:r>
            <w:r>
              <w:rPr>
                <w:rFonts w:eastAsia="宋体"/>
                <w:bCs/>
                <w:sz w:val="24"/>
                <w:szCs w:val="24"/>
              </w:rPr>
              <w:t>集中式饮用水水源水质达到或优于</w:t>
            </w:r>
            <w:r>
              <w:rPr>
                <w:rFonts w:eastAsia="宋体"/>
                <w:bCs/>
                <w:sz w:val="24"/>
                <w:szCs w:val="24"/>
              </w:rPr>
              <w:t>Ⅲ</w:t>
            </w:r>
            <w:r>
              <w:rPr>
                <w:rFonts w:eastAsia="宋体"/>
                <w:bCs/>
                <w:sz w:val="24"/>
                <w:szCs w:val="24"/>
              </w:rPr>
              <w:t>类比例</w:t>
            </w:r>
          </w:p>
        </w:tc>
        <w:tc>
          <w:tcPr>
            <w:tcW w:w="400" w:type="pct"/>
            <w:vAlign w:val="center"/>
          </w:tcPr>
          <w:p w:rsidR="00B373FD">
            <w:pPr>
              <w:adjustRightInd w:val="0"/>
              <w:snapToGrid w:val="0"/>
              <w:spacing w:line="240" w:lineRule="auto"/>
              <w:jc w:val="center"/>
              <w:rPr>
                <w:rFonts w:eastAsia="宋体"/>
                <w:bCs/>
                <w:sz w:val="24"/>
                <w:szCs w:val="24"/>
              </w:rPr>
            </w:pPr>
            <w:r>
              <w:rPr>
                <w:rFonts w:eastAsia="宋体"/>
                <w:bCs/>
                <w:sz w:val="24"/>
                <w:szCs w:val="24"/>
              </w:rPr>
              <w:t>%</w:t>
            </w:r>
          </w:p>
        </w:tc>
        <w:tc>
          <w:tcPr>
            <w:tcW w:w="636" w:type="pct"/>
            <w:vAlign w:val="center"/>
          </w:tcPr>
          <w:p w:rsidR="00B373FD">
            <w:pPr>
              <w:adjustRightInd w:val="0"/>
              <w:snapToGrid w:val="0"/>
              <w:spacing w:line="240" w:lineRule="auto"/>
              <w:jc w:val="center"/>
              <w:rPr>
                <w:rFonts w:eastAsia="宋体"/>
                <w:bCs/>
                <w:sz w:val="24"/>
                <w:szCs w:val="24"/>
              </w:rPr>
            </w:pPr>
            <w:r>
              <w:rPr>
                <w:rFonts w:eastAsia="宋体"/>
                <w:bCs/>
                <w:sz w:val="24"/>
                <w:szCs w:val="24"/>
              </w:rPr>
              <w:t>100</w:t>
            </w:r>
          </w:p>
        </w:tc>
        <w:tc>
          <w:tcPr>
            <w:tcW w:w="616" w:type="pct"/>
            <w:vAlign w:val="center"/>
          </w:tcPr>
          <w:p w:rsidR="00B373FD">
            <w:pPr>
              <w:adjustRightInd w:val="0"/>
              <w:snapToGrid w:val="0"/>
              <w:spacing w:line="240" w:lineRule="auto"/>
              <w:jc w:val="center"/>
              <w:rPr>
                <w:rFonts w:eastAsia="宋体"/>
                <w:bCs/>
                <w:sz w:val="24"/>
                <w:szCs w:val="24"/>
              </w:rPr>
            </w:pPr>
            <w:r>
              <w:rPr>
                <w:rFonts w:eastAsia="宋体"/>
                <w:bCs/>
                <w:sz w:val="24"/>
                <w:szCs w:val="24"/>
              </w:rPr>
              <w:t>100</w:t>
            </w:r>
          </w:p>
        </w:tc>
        <w:tc>
          <w:tcPr>
            <w:tcW w:w="494" w:type="pct"/>
            <w:vAlign w:val="center"/>
          </w:tcPr>
          <w:p w:rsidR="00B373FD">
            <w:pPr>
              <w:adjustRightInd w:val="0"/>
              <w:snapToGrid w:val="0"/>
              <w:spacing w:line="240" w:lineRule="auto"/>
              <w:jc w:val="center"/>
              <w:rPr>
                <w:rFonts w:eastAsia="宋体"/>
                <w:bCs/>
                <w:sz w:val="24"/>
                <w:szCs w:val="24"/>
              </w:rPr>
            </w:pPr>
            <w:r>
              <w:rPr>
                <w:rFonts w:eastAsia="宋体" w:hint="eastAsia"/>
                <w:bCs/>
                <w:sz w:val="24"/>
                <w:szCs w:val="24"/>
              </w:rPr>
              <w:t>已完成</w:t>
            </w:r>
          </w:p>
        </w:tc>
      </w:tr>
      <w:tr w:rsidTr="00317E8E">
        <w:tblPrEx>
          <w:tblW w:w="5036" w:type="pct"/>
          <w:jc w:val="center"/>
          <w:tblLayout w:type="fixed"/>
          <w:tblCellMar>
            <w:left w:w="0" w:type="dxa"/>
            <w:right w:w="0" w:type="dxa"/>
          </w:tblCellMar>
          <w:tblLook w:val="04A0"/>
        </w:tblPrEx>
        <w:trPr>
          <w:cantSplit/>
          <w:trHeight w:hRule="exact" w:val="808"/>
          <w:jc w:val="center"/>
        </w:trPr>
        <w:tc>
          <w:tcPr>
            <w:tcW w:w="333" w:type="pct"/>
            <w:vMerge/>
            <w:vAlign w:val="center"/>
          </w:tcPr>
          <w:p w:rsidR="00B373FD">
            <w:pPr>
              <w:adjustRightInd w:val="0"/>
              <w:snapToGrid w:val="0"/>
              <w:spacing w:line="240" w:lineRule="auto"/>
              <w:jc w:val="center"/>
              <w:rPr>
                <w:rFonts w:eastAsia="宋体"/>
                <w:bCs/>
                <w:sz w:val="24"/>
                <w:szCs w:val="24"/>
              </w:rPr>
            </w:pPr>
          </w:p>
        </w:tc>
        <w:tc>
          <w:tcPr>
            <w:tcW w:w="2518" w:type="pct"/>
            <w:gridSpan w:val="3"/>
            <w:vAlign w:val="center"/>
          </w:tcPr>
          <w:p w:rsidR="00B373FD" w:rsidP="00317E8E">
            <w:pPr>
              <w:adjustRightInd w:val="0"/>
              <w:snapToGrid w:val="0"/>
              <w:spacing w:line="240" w:lineRule="auto"/>
              <w:rPr>
                <w:rFonts w:eastAsia="宋体"/>
                <w:bCs/>
                <w:sz w:val="24"/>
                <w:szCs w:val="24"/>
              </w:rPr>
            </w:pPr>
            <w:r>
              <w:rPr>
                <w:rFonts w:eastAsia="宋体"/>
                <w:bCs/>
                <w:sz w:val="24"/>
                <w:szCs w:val="24"/>
              </w:rPr>
              <w:t>2.</w:t>
            </w:r>
            <w:r>
              <w:rPr>
                <w:rFonts w:eastAsia="宋体"/>
                <w:bCs/>
                <w:sz w:val="24"/>
                <w:szCs w:val="24"/>
              </w:rPr>
              <w:t>地表水考核断面达到或优于</w:t>
            </w:r>
            <w:r>
              <w:rPr>
                <w:rFonts w:eastAsia="宋体"/>
                <w:bCs/>
                <w:sz w:val="24"/>
                <w:szCs w:val="24"/>
              </w:rPr>
              <w:t>III</w:t>
            </w:r>
            <w:r>
              <w:rPr>
                <w:rFonts w:eastAsia="宋体"/>
                <w:bCs/>
                <w:sz w:val="24"/>
                <w:szCs w:val="24"/>
              </w:rPr>
              <w:t>类（优良）比例</w:t>
            </w:r>
          </w:p>
        </w:tc>
        <w:tc>
          <w:tcPr>
            <w:tcW w:w="400" w:type="pct"/>
            <w:vMerge w:val="restart"/>
            <w:vAlign w:val="center"/>
          </w:tcPr>
          <w:p w:rsidR="00B373FD">
            <w:pPr>
              <w:adjustRightInd w:val="0"/>
              <w:snapToGrid w:val="0"/>
              <w:spacing w:line="240" w:lineRule="auto"/>
              <w:jc w:val="center"/>
              <w:rPr>
                <w:rFonts w:eastAsia="宋体"/>
                <w:bCs/>
                <w:sz w:val="24"/>
                <w:szCs w:val="24"/>
              </w:rPr>
            </w:pPr>
            <w:r>
              <w:rPr>
                <w:rFonts w:eastAsia="宋体"/>
                <w:bCs/>
                <w:sz w:val="24"/>
                <w:szCs w:val="24"/>
              </w:rPr>
              <w:t>%</w:t>
            </w:r>
          </w:p>
        </w:tc>
        <w:tc>
          <w:tcPr>
            <w:tcW w:w="636" w:type="pct"/>
            <w:vAlign w:val="center"/>
          </w:tcPr>
          <w:p w:rsidR="00B373FD">
            <w:pPr>
              <w:adjustRightInd w:val="0"/>
              <w:snapToGrid w:val="0"/>
              <w:spacing w:line="240" w:lineRule="auto"/>
              <w:jc w:val="center"/>
              <w:rPr>
                <w:rFonts w:eastAsia="宋体"/>
                <w:bCs/>
                <w:sz w:val="24"/>
                <w:szCs w:val="24"/>
              </w:rPr>
            </w:pPr>
            <w:r>
              <w:rPr>
                <w:rFonts w:eastAsia="宋体"/>
                <w:bCs/>
                <w:sz w:val="24"/>
                <w:szCs w:val="24"/>
              </w:rPr>
              <w:t>≥77.8</w:t>
            </w:r>
          </w:p>
        </w:tc>
        <w:tc>
          <w:tcPr>
            <w:tcW w:w="616" w:type="pct"/>
            <w:vAlign w:val="center"/>
          </w:tcPr>
          <w:p w:rsidR="00B373FD">
            <w:pPr>
              <w:adjustRightInd w:val="0"/>
              <w:snapToGrid w:val="0"/>
              <w:spacing w:line="240" w:lineRule="auto"/>
              <w:jc w:val="center"/>
              <w:rPr>
                <w:rFonts w:eastAsia="宋体"/>
                <w:bCs/>
                <w:sz w:val="24"/>
                <w:szCs w:val="24"/>
              </w:rPr>
            </w:pPr>
            <w:r>
              <w:rPr>
                <w:rFonts w:eastAsia="宋体"/>
                <w:bCs/>
                <w:sz w:val="24"/>
                <w:szCs w:val="24"/>
              </w:rPr>
              <w:t>100</w:t>
            </w:r>
          </w:p>
        </w:tc>
        <w:tc>
          <w:tcPr>
            <w:tcW w:w="494" w:type="pct"/>
            <w:vAlign w:val="center"/>
          </w:tcPr>
          <w:p w:rsidR="00B373FD">
            <w:pPr>
              <w:adjustRightInd w:val="0"/>
              <w:snapToGrid w:val="0"/>
              <w:spacing w:line="240" w:lineRule="auto"/>
              <w:jc w:val="center"/>
              <w:rPr>
                <w:rFonts w:eastAsia="宋体"/>
                <w:bCs/>
                <w:sz w:val="24"/>
                <w:szCs w:val="24"/>
              </w:rPr>
            </w:pPr>
            <w:r>
              <w:rPr>
                <w:rFonts w:eastAsia="宋体" w:hint="eastAsia"/>
                <w:bCs/>
                <w:sz w:val="24"/>
                <w:szCs w:val="24"/>
              </w:rPr>
              <w:t>已完成</w:t>
            </w:r>
          </w:p>
        </w:tc>
      </w:tr>
      <w:tr w:rsidTr="00317E8E">
        <w:tblPrEx>
          <w:tblW w:w="5036" w:type="pct"/>
          <w:jc w:val="center"/>
          <w:tblLayout w:type="fixed"/>
          <w:tblCellMar>
            <w:left w:w="0" w:type="dxa"/>
            <w:right w:w="0" w:type="dxa"/>
          </w:tblCellMar>
          <w:tblLook w:val="04A0"/>
        </w:tblPrEx>
        <w:trPr>
          <w:cantSplit/>
          <w:trHeight w:hRule="exact" w:val="848"/>
          <w:jc w:val="center"/>
        </w:trPr>
        <w:tc>
          <w:tcPr>
            <w:tcW w:w="333" w:type="pct"/>
            <w:vMerge/>
            <w:vAlign w:val="center"/>
          </w:tcPr>
          <w:p w:rsidR="00B373FD">
            <w:pPr>
              <w:adjustRightInd w:val="0"/>
              <w:snapToGrid w:val="0"/>
              <w:spacing w:line="240" w:lineRule="auto"/>
              <w:jc w:val="center"/>
              <w:rPr>
                <w:rFonts w:eastAsia="宋体"/>
                <w:bCs/>
                <w:sz w:val="24"/>
                <w:szCs w:val="24"/>
              </w:rPr>
            </w:pPr>
          </w:p>
        </w:tc>
        <w:tc>
          <w:tcPr>
            <w:tcW w:w="2518" w:type="pct"/>
            <w:gridSpan w:val="3"/>
            <w:vAlign w:val="center"/>
          </w:tcPr>
          <w:p w:rsidR="00317E8E" w:rsidP="00317E8E">
            <w:pPr>
              <w:adjustRightInd w:val="0"/>
              <w:snapToGrid w:val="0"/>
              <w:spacing w:line="240" w:lineRule="auto"/>
              <w:rPr>
                <w:rFonts w:eastAsia="宋体"/>
                <w:bCs/>
                <w:sz w:val="24"/>
                <w:szCs w:val="24"/>
              </w:rPr>
            </w:pPr>
            <w:r>
              <w:rPr>
                <w:rFonts w:eastAsia="宋体"/>
                <w:bCs/>
                <w:sz w:val="24"/>
                <w:szCs w:val="24"/>
              </w:rPr>
              <w:t>其中：</w:t>
            </w:r>
          </w:p>
          <w:p w:rsidR="00B373FD" w:rsidP="00317E8E">
            <w:pPr>
              <w:adjustRightInd w:val="0"/>
              <w:snapToGrid w:val="0"/>
              <w:spacing w:line="240" w:lineRule="auto"/>
              <w:rPr>
                <w:rFonts w:eastAsia="宋体"/>
                <w:bCs/>
                <w:sz w:val="24"/>
                <w:szCs w:val="24"/>
              </w:rPr>
            </w:pPr>
            <w:r>
              <w:rPr>
                <w:rFonts w:eastAsia="宋体"/>
                <w:bCs/>
                <w:sz w:val="24"/>
                <w:szCs w:val="24"/>
              </w:rPr>
              <w:t>国考断面达到或优于</w:t>
            </w:r>
            <w:r>
              <w:rPr>
                <w:rFonts w:eastAsia="宋体"/>
                <w:bCs/>
                <w:sz w:val="24"/>
                <w:szCs w:val="24"/>
              </w:rPr>
              <w:t>III</w:t>
            </w:r>
            <w:r>
              <w:rPr>
                <w:rFonts w:eastAsia="宋体"/>
                <w:bCs/>
                <w:sz w:val="24"/>
                <w:szCs w:val="24"/>
              </w:rPr>
              <w:t>类（优良）比例</w:t>
            </w:r>
          </w:p>
        </w:tc>
        <w:tc>
          <w:tcPr>
            <w:tcW w:w="400" w:type="pct"/>
            <w:vMerge/>
            <w:vAlign w:val="center"/>
          </w:tcPr>
          <w:p w:rsidR="00B373FD">
            <w:pPr>
              <w:adjustRightInd w:val="0"/>
              <w:snapToGrid w:val="0"/>
              <w:spacing w:line="240" w:lineRule="auto"/>
              <w:jc w:val="center"/>
              <w:rPr>
                <w:rFonts w:eastAsia="宋体"/>
                <w:bCs/>
                <w:sz w:val="24"/>
                <w:szCs w:val="24"/>
              </w:rPr>
            </w:pPr>
          </w:p>
        </w:tc>
        <w:tc>
          <w:tcPr>
            <w:tcW w:w="636" w:type="pct"/>
            <w:vAlign w:val="center"/>
          </w:tcPr>
          <w:p w:rsidR="00B373FD">
            <w:pPr>
              <w:adjustRightInd w:val="0"/>
              <w:snapToGrid w:val="0"/>
              <w:spacing w:line="240" w:lineRule="auto"/>
              <w:jc w:val="center"/>
              <w:rPr>
                <w:rFonts w:eastAsia="宋体"/>
                <w:bCs/>
                <w:sz w:val="24"/>
                <w:szCs w:val="24"/>
              </w:rPr>
            </w:pPr>
            <w:r>
              <w:rPr>
                <w:rFonts w:eastAsia="宋体"/>
                <w:bCs/>
                <w:sz w:val="24"/>
                <w:szCs w:val="24"/>
              </w:rPr>
              <w:t>≥100</w:t>
            </w:r>
          </w:p>
        </w:tc>
        <w:tc>
          <w:tcPr>
            <w:tcW w:w="616" w:type="pct"/>
            <w:vAlign w:val="center"/>
          </w:tcPr>
          <w:p w:rsidR="00B373FD">
            <w:pPr>
              <w:adjustRightInd w:val="0"/>
              <w:snapToGrid w:val="0"/>
              <w:spacing w:line="240" w:lineRule="auto"/>
              <w:jc w:val="center"/>
              <w:rPr>
                <w:rFonts w:eastAsia="宋体"/>
                <w:bCs/>
                <w:sz w:val="24"/>
                <w:szCs w:val="24"/>
              </w:rPr>
            </w:pPr>
            <w:r>
              <w:rPr>
                <w:rFonts w:eastAsia="宋体"/>
                <w:bCs/>
                <w:sz w:val="24"/>
                <w:szCs w:val="24"/>
              </w:rPr>
              <w:t>100</w:t>
            </w:r>
          </w:p>
        </w:tc>
        <w:tc>
          <w:tcPr>
            <w:tcW w:w="494" w:type="pct"/>
            <w:vAlign w:val="center"/>
          </w:tcPr>
          <w:p w:rsidR="00B373FD">
            <w:pPr>
              <w:adjustRightInd w:val="0"/>
              <w:snapToGrid w:val="0"/>
              <w:spacing w:line="240" w:lineRule="auto"/>
              <w:jc w:val="center"/>
              <w:rPr>
                <w:rFonts w:eastAsia="宋体"/>
                <w:bCs/>
                <w:sz w:val="24"/>
                <w:szCs w:val="24"/>
              </w:rPr>
            </w:pPr>
            <w:r>
              <w:rPr>
                <w:rFonts w:eastAsia="宋体" w:hint="eastAsia"/>
                <w:bCs/>
                <w:sz w:val="24"/>
                <w:szCs w:val="24"/>
              </w:rPr>
              <w:t>已完成</w:t>
            </w:r>
          </w:p>
        </w:tc>
      </w:tr>
      <w:tr>
        <w:tblPrEx>
          <w:tblW w:w="5036" w:type="pct"/>
          <w:jc w:val="center"/>
          <w:tblLayout w:type="fixed"/>
          <w:tblCellMar>
            <w:left w:w="0" w:type="dxa"/>
            <w:right w:w="0" w:type="dxa"/>
          </w:tblCellMar>
          <w:tblLook w:val="04A0"/>
        </w:tblPrEx>
        <w:trPr>
          <w:cantSplit/>
          <w:trHeight w:hRule="exact" w:val="782"/>
          <w:jc w:val="center"/>
        </w:trPr>
        <w:tc>
          <w:tcPr>
            <w:tcW w:w="333" w:type="pct"/>
            <w:vMerge/>
            <w:vAlign w:val="center"/>
          </w:tcPr>
          <w:p w:rsidR="00B373FD">
            <w:pPr>
              <w:adjustRightInd w:val="0"/>
              <w:snapToGrid w:val="0"/>
              <w:spacing w:line="240" w:lineRule="auto"/>
              <w:jc w:val="center"/>
              <w:rPr>
                <w:rFonts w:eastAsia="宋体"/>
                <w:bCs/>
                <w:sz w:val="24"/>
                <w:szCs w:val="24"/>
              </w:rPr>
            </w:pPr>
          </w:p>
        </w:tc>
        <w:tc>
          <w:tcPr>
            <w:tcW w:w="2518" w:type="pct"/>
            <w:gridSpan w:val="3"/>
            <w:vAlign w:val="center"/>
          </w:tcPr>
          <w:p w:rsidR="00B373FD">
            <w:pPr>
              <w:adjustRightInd w:val="0"/>
              <w:snapToGrid w:val="0"/>
              <w:spacing w:line="240" w:lineRule="auto"/>
              <w:rPr>
                <w:rFonts w:eastAsia="宋体"/>
                <w:bCs/>
                <w:sz w:val="24"/>
                <w:szCs w:val="24"/>
              </w:rPr>
            </w:pPr>
            <w:r>
              <w:rPr>
                <w:rFonts w:eastAsia="宋体"/>
                <w:bCs/>
                <w:sz w:val="24"/>
                <w:szCs w:val="24"/>
              </w:rPr>
              <w:t>省考断面达到或优于</w:t>
            </w:r>
            <w:r>
              <w:rPr>
                <w:rFonts w:eastAsia="宋体"/>
                <w:bCs/>
                <w:sz w:val="24"/>
                <w:szCs w:val="24"/>
              </w:rPr>
              <w:t>III</w:t>
            </w:r>
            <w:r>
              <w:rPr>
                <w:rFonts w:eastAsia="宋体"/>
                <w:bCs/>
                <w:sz w:val="24"/>
                <w:szCs w:val="24"/>
              </w:rPr>
              <w:t>类（优良）比例</w:t>
            </w:r>
          </w:p>
        </w:tc>
        <w:tc>
          <w:tcPr>
            <w:tcW w:w="400" w:type="pct"/>
            <w:vMerge/>
            <w:vAlign w:val="center"/>
          </w:tcPr>
          <w:p w:rsidR="00B373FD">
            <w:pPr>
              <w:adjustRightInd w:val="0"/>
              <w:snapToGrid w:val="0"/>
              <w:spacing w:line="240" w:lineRule="auto"/>
              <w:jc w:val="center"/>
              <w:rPr>
                <w:rFonts w:eastAsia="宋体"/>
                <w:bCs/>
                <w:sz w:val="24"/>
                <w:szCs w:val="24"/>
              </w:rPr>
            </w:pPr>
          </w:p>
        </w:tc>
        <w:tc>
          <w:tcPr>
            <w:tcW w:w="636" w:type="pct"/>
            <w:vAlign w:val="center"/>
          </w:tcPr>
          <w:p w:rsidR="00B373FD">
            <w:pPr>
              <w:adjustRightInd w:val="0"/>
              <w:snapToGrid w:val="0"/>
              <w:spacing w:line="240" w:lineRule="auto"/>
              <w:jc w:val="center"/>
              <w:rPr>
                <w:rFonts w:eastAsia="宋体"/>
                <w:bCs/>
                <w:sz w:val="24"/>
                <w:szCs w:val="24"/>
              </w:rPr>
            </w:pPr>
            <w:r>
              <w:rPr>
                <w:rFonts w:eastAsia="宋体"/>
                <w:bCs/>
                <w:sz w:val="24"/>
                <w:szCs w:val="24"/>
              </w:rPr>
              <w:t>≥50</w:t>
            </w:r>
          </w:p>
        </w:tc>
        <w:tc>
          <w:tcPr>
            <w:tcW w:w="616" w:type="pct"/>
            <w:vAlign w:val="center"/>
          </w:tcPr>
          <w:p w:rsidR="00B373FD">
            <w:pPr>
              <w:adjustRightInd w:val="0"/>
              <w:snapToGrid w:val="0"/>
              <w:spacing w:line="240" w:lineRule="auto"/>
              <w:jc w:val="center"/>
              <w:rPr>
                <w:rFonts w:eastAsia="宋体"/>
                <w:bCs/>
                <w:sz w:val="24"/>
                <w:szCs w:val="24"/>
              </w:rPr>
            </w:pPr>
            <w:r>
              <w:rPr>
                <w:rFonts w:eastAsia="宋体"/>
                <w:bCs/>
                <w:sz w:val="24"/>
                <w:szCs w:val="24"/>
              </w:rPr>
              <w:t>100</w:t>
            </w:r>
          </w:p>
        </w:tc>
        <w:tc>
          <w:tcPr>
            <w:tcW w:w="494" w:type="pct"/>
            <w:vAlign w:val="center"/>
          </w:tcPr>
          <w:p w:rsidR="00B373FD">
            <w:pPr>
              <w:adjustRightInd w:val="0"/>
              <w:snapToGrid w:val="0"/>
              <w:spacing w:line="240" w:lineRule="auto"/>
              <w:jc w:val="center"/>
              <w:rPr>
                <w:rFonts w:eastAsia="宋体"/>
                <w:bCs/>
                <w:sz w:val="24"/>
                <w:szCs w:val="24"/>
              </w:rPr>
            </w:pPr>
            <w:r>
              <w:rPr>
                <w:rFonts w:eastAsia="宋体" w:hint="eastAsia"/>
                <w:bCs/>
                <w:sz w:val="24"/>
                <w:szCs w:val="24"/>
              </w:rPr>
              <w:t>已完成</w:t>
            </w:r>
          </w:p>
        </w:tc>
      </w:tr>
      <w:tr>
        <w:tblPrEx>
          <w:tblW w:w="5036" w:type="pct"/>
          <w:jc w:val="center"/>
          <w:tblLayout w:type="fixed"/>
          <w:tblCellMar>
            <w:left w:w="0" w:type="dxa"/>
            <w:right w:w="0" w:type="dxa"/>
          </w:tblCellMar>
          <w:tblLook w:val="04A0"/>
        </w:tblPrEx>
        <w:trPr>
          <w:cantSplit/>
          <w:trHeight w:hRule="exact" w:val="510"/>
          <w:jc w:val="center"/>
        </w:trPr>
        <w:tc>
          <w:tcPr>
            <w:tcW w:w="333" w:type="pct"/>
            <w:vMerge/>
            <w:vAlign w:val="center"/>
          </w:tcPr>
          <w:p w:rsidR="00B373FD">
            <w:pPr>
              <w:adjustRightInd w:val="0"/>
              <w:snapToGrid w:val="0"/>
              <w:spacing w:line="240" w:lineRule="auto"/>
              <w:jc w:val="center"/>
              <w:rPr>
                <w:rFonts w:eastAsia="宋体"/>
                <w:bCs/>
                <w:sz w:val="24"/>
                <w:szCs w:val="24"/>
              </w:rPr>
            </w:pPr>
          </w:p>
        </w:tc>
        <w:tc>
          <w:tcPr>
            <w:tcW w:w="2518" w:type="pct"/>
            <w:gridSpan w:val="3"/>
            <w:vAlign w:val="center"/>
          </w:tcPr>
          <w:p w:rsidR="00B373FD">
            <w:pPr>
              <w:adjustRightInd w:val="0"/>
              <w:snapToGrid w:val="0"/>
              <w:spacing w:line="240" w:lineRule="auto"/>
              <w:rPr>
                <w:rFonts w:eastAsia="宋体"/>
                <w:bCs/>
                <w:sz w:val="24"/>
                <w:szCs w:val="24"/>
              </w:rPr>
            </w:pPr>
            <w:r>
              <w:rPr>
                <w:rFonts w:eastAsia="宋体"/>
                <w:bCs/>
                <w:sz w:val="24"/>
                <w:szCs w:val="24"/>
              </w:rPr>
              <w:t>3.</w:t>
            </w:r>
            <w:r>
              <w:rPr>
                <w:rFonts w:eastAsia="宋体"/>
                <w:bCs/>
                <w:sz w:val="24"/>
                <w:szCs w:val="24"/>
              </w:rPr>
              <w:t>地表水考核断面劣</w:t>
            </w:r>
            <w:r>
              <w:rPr>
                <w:rFonts w:eastAsia="宋体"/>
                <w:bCs/>
                <w:sz w:val="24"/>
                <w:szCs w:val="24"/>
              </w:rPr>
              <w:t>Ⅴ</w:t>
            </w:r>
            <w:r>
              <w:rPr>
                <w:rFonts w:eastAsia="宋体"/>
                <w:bCs/>
                <w:sz w:val="24"/>
                <w:szCs w:val="24"/>
              </w:rPr>
              <w:t>类水质比例</w:t>
            </w:r>
          </w:p>
        </w:tc>
        <w:tc>
          <w:tcPr>
            <w:tcW w:w="400" w:type="pct"/>
            <w:vAlign w:val="center"/>
          </w:tcPr>
          <w:p w:rsidR="00B373FD">
            <w:pPr>
              <w:adjustRightInd w:val="0"/>
              <w:snapToGrid w:val="0"/>
              <w:spacing w:line="240" w:lineRule="auto"/>
              <w:jc w:val="center"/>
              <w:rPr>
                <w:rFonts w:eastAsia="宋体"/>
                <w:bCs/>
                <w:sz w:val="24"/>
                <w:szCs w:val="24"/>
              </w:rPr>
            </w:pPr>
            <w:r>
              <w:rPr>
                <w:rFonts w:eastAsia="宋体"/>
                <w:bCs/>
                <w:sz w:val="24"/>
                <w:szCs w:val="24"/>
              </w:rPr>
              <w:t>%</w:t>
            </w:r>
          </w:p>
        </w:tc>
        <w:tc>
          <w:tcPr>
            <w:tcW w:w="636" w:type="pct"/>
            <w:vAlign w:val="center"/>
          </w:tcPr>
          <w:p w:rsidR="00B373FD">
            <w:pPr>
              <w:adjustRightInd w:val="0"/>
              <w:snapToGrid w:val="0"/>
              <w:spacing w:line="240" w:lineRule="auto"/>
              <w:jc w:val="center"/>
              <w:rPr>
                <w:rFonts w:eastAsia="宋体"/>
                <w:bCs/>
                <w:sz w:val="24"/>
                <w:szCs w:val="24"/>
              </w:rPr>
            </w:pPr>
            <w:r>
              <w:rPr>
                <w:rFonts w:eastAsia="宋体"/>
                <w:bCs/>
                <w:sz w:val="24"/>
                <w:szCs w:val="24"/>
              </w:rPr>
              <w:t>基本消除</w:t>
            </w:r>
          </w:p>
        </w:tc>
        <w:tc>
          <w:tcPr>
            <w:tcW w:w="616" w:type="pct"/>
            <w:vAlign w:val="center"/>
          </w:tcPr>
          <w:p w:rsidR="00B373FD">
            <w:pPr>
              <w:adjustRightInd w:val="0"/>
              <w:snapToGrid w:val="0"/>
              <w:spacing w:line="240" w:lineRule="auto"/>
              <w:jc w:val="center"/>
              <w:rPr>
                <w:rFonts w:eastAsia="宋体"/>
                <w:bCs/>
                <w:sz w:val="24"/>
                <w:szCs w:val="24"/>
              </w:rPr>
            </w:pPr>
            <w:r>
              <w:rPr>
                <w:rFonts w:eastAsia="宋体"/>
                <w:bCs/>
                <w:sz w:val="24"/>
                <w:szCs w:val="24"/>
              </w:rPr>
              <w:t>0</w:t>
            </w:r>
          </w:p>
        </w:tc>
        <w:tc>
          <w:tcPr>
            <w:tcW w:w="494" w:type="pct"/>
            <w:vAlign w:val="center"/>
          </w:tcPr>
          <w:p w:rsidR="00B373FD">
            <w:pPr>
              <w:adjustRightInd w:val="0"/>
              <w:snapToGrid w:val="0"/>
              <w:spacing w:line="240" w:lineRule="auto"/>
              <w:jc w:val="center"/>
              <w:rPr>
                <w:rFonts w:eastAsia="宋体"/>
                <w:bCs/>
                <w:sz w:val="24"/>
                <w:szCs w:val="24"/>
              </w:rPr>
            </w:pPr>
            <w:r>
              <w:rPr>
                <w:rFonts w:eastAsia="宋体" w:hint="eastAsia"/>
                <w:bCs/>
                <w:sz w:val="24"/>
                <w:szCs w:val="24"/>
              </w:rPr>
              <w:t>已完成</w:t>
            </w:r>
          </w:p>
        </w:tc>
      </w:tr>
      <w:tr>
        <w:tblPrEx>
          <w:tblW w:w="5036" w:type="pct"/>
          <w:jc w:val="center"/>
          <w:tblLayout w:type="fixed"/>
          <w:tblCellMar>
            <w:left w:w="0" w:type="dxa"/>
            <w:right w:w="0" w:type="dxa"/>
          </w:tblCellMar>
          <w:tblLook w:val="04A0"/>
        </w:tblPrEx>
        <w:trPr>
          <w:cantSplit/>
          <w:trHeight w:hRule="exact" w:val="510"/>
          <w:jc w:val="center"/>
        </w:trPr>
        <w:tc>
          <w:tcPr>
            <w:tcW w:w="333" w:type="pct"/>
            <w:vMerge/>
            <w:vAlign w:val="center"/>
          </w:tcPr>
          <w:p w:rsidR="00B373FD">
            <w:pPr>
              <w:adjustRightInd w:val="0"/>
              <w:snapToGrid w:val="0"/>
              <w:spacing w:line="240" w:lineRule="auto"/>
              <w:jc w:val="center"/>
              <w:rPr>
                <w:rFonts w:eastAsia="宋体"/>
                <w:bCs/>
                <w:sz w:val="24"/>
                <w:szCs w:val="24"/>
              </w:rPr>
            </w:pPr>
          </w:p>
        </w:tc>
        <w:tc>
          <w:tcPr>
            <w:tcW w:w="2518" w:type="pct"/>
            <w:gridSpan w:val="3"/>
            <w:vAlign w:val="center"/>
          </w:tcPr>
          <w:p w:rsidR="00B373FD">
            <w:pPr>
              <w:adjustRightInd w:val="0"/>
              <w:snapToGrid w:val="0"/>
              <w:spacing w:line="240" w:lineRule="auto"/>
              <w:rPr>
                <w:rFonts w:eastAsia="宋体"/>
                <w:bCs/>
                <w:sz w:val="24"/>
                <w:szCs w:val="24"/>
              </w:rPr>
            </w:pPr>
            <w:r>
              <w:rPr>
                <w:rFonts w:eastAsia="宋体"/>
                <w:bCs/>
                <w:sz w:val="24"/>
                <w:szCs w:val="24"/>
              </w:rPr>
              <w:t>4.</w:t>
            </w:r>
            <w:r>
              <w:rPr>
                <w:rFonts w:eastAsia="宋体"/>
                <w:bCs/>
                <w:sz w:val="24"/>
                <w:szCs w:val="24"/>
              </w:rPr>
              <w:t>化学需氧量排放量削减比例</w:t>
            </w:r>
          </w:p>
        </w:tc>
        <w:tc>
          <w:tcPr>
            <w:tcW w:w="400" w:type="pct"/>
            <w:vAlign w:val="center"/>
          </w:tcPr>
          <w:p w:rsidR="00B373FD">
            <w:pPr>
              <w:adjustRightInd w:val="0"/>
              <w:snapToGrid w:val="0"/>
              <w:spacing w:line="240" w:lineRule="auto"/>
              <w:jc w:val="center"/>
              <w:rPr>
                <w:rFonts w:eastAsia="宋体"/>
                <w:bCs/>
                <w:sz w:val="24"/>
                <w:szCs w:val="24"/>
              </w:rPr>
            </w:pPr>
            <w:r>
              <w:rPr>
                <w:rFonts w:eastAsia="宋体"/>
                <w:bCs/>
                <w:sz w:val="24"/>
                <w:szCs w:val="24"/>
              </w:rPr>
              <w:t>%</w:t>
            </w:r>
          </w:p>
        </w:tc>
        <w:tc>
          <w:tcPr>
            <w:tcW w:w="636" w:type="pct"/>
            <w:vMerge w:val="restart"/>
            <w:vAlign w:val="center"/>
          </w:tcPr>
          <w:p w:rsidR="00B373FD">
            <w:pPr>
              <w:adjustRightInd w:val="0"/>
              <w:snapToGrid w:val="0"/>
              <w:spacing w:line="240" w:lineRule="auto"/>
              <w:jc w:val="center"/>
              <w:rPr>
                <w:rFonts w:eastAsia="宋体"/>
                <w:bCs/>
                <w:sz w:val="24"/>
                <w:szCs w:val="24"/>
              </w:rPr>
            </w:pPr>
            <w:r>
              <w:rPr>
                <w:rFonts w:eastAsia="宋体"/>
                <w:bCs/>
                <w:sz w:val="24"/>
                <w:szCs w:val="24"/>
              </w:rPr>
              <w:t>完成上级下达目标</w:t>
            </w:r>
          </w:p>
        </w:tc>
        <w:tc>
          <w:tcPr>
            <w:tcW w:w="616" w:type="pct"/>
            <w:vMerge w:val="restart"/>
            <w:vAlign w:val="center"/>
          </w:tcPr>
          <w:p w:rsidR="00B373FD">
            <w:pPr>
              <w:adjustRightInd w:val="0"/>
              <w:snapToGrid w:val="0"/>
              <w:spacing w:line="240" w:lineRule="auto"/>
              <w:jc w:val="center"/>
              <w:rPr>
                <w:rFonts w:eastAsia="宋体"/>
                <w:bCs/>
                <w:sz w:val="24"/>
                <w:szCs w:val="24"/>
              </w:rPr>
            </w:pPr>
            <w:r>
              <w:rPr>
                <w:rFonts w:eastAsia="宋体"/>
                <w:bCs/>
                <w:sz w:val="24"/>
                <w:szCs w:val="24"/>
              </w:rPr>
              <w:t>完成上级下达目标</w:t>
            </w:r>
          </w:p>
        </w:tc>
        <w:tc>
          <w:tcPr>
            <w:tcW w:w="494" w:type="pct"/>
            <w:vMerge w:val="restart"/>
            <w:vAlign w:val="center"/>
          </w:tcPr>
          <w:p w:rsidR="00B373FD">
            <w:pPr>
              <w:adjustRightInd w:val="0"/>
              <w:snapToGrid w:val="0"/>
              <w:spacing w:line="240" w:lineRule="auto"/>
              <w:jc w:val="center"/>
              <w:rPr>
                <w:rFonts w:eastAsia="宋体"/>
                <w:bCs/>
                <w:sz w:val="24"/>
                <w:szCs w:val="24"/>
              </w:rPr>
            </w:pPr>
            <w:r>
              <w:rPr>
                <w:rFonts w:eastAsia="宋体" w:hint="eastAsia"/>
                <w:bCs/>
                <w:sz w:val="24"/>
                <w:szCs w:val="24"/>
              </w:rPr>
              <w:t>已完成</w:t>
            </w:r>
          </w:p>
        </w:tc>
      </w:tr>
      <w:tr>
        <w:tblPrEx>
          <w:tblW w:w="5036" w:type="pct"/>
          <w:jc w:val="center"/>
          <w:tblLayout w:type="fixed"/>
          <w:tblCellMar>
            <w:left w:w="0" w:type="dxa"/>
            <w:right w:w="0" w:type="dxa"/>
          </w:tblCellMar>
          <w:tblLook w:val="04A0"/>
        </w:tblPrEx>
        <w:trPr>
          <w:cantSplit/>
          <w:trHeight w:hRule="exact" w:val="510"/>
          <w:jc w:val="center"/>
        </w:trPr>
        <w:tc>
          <w:tcPr>
            <w:tcW w:w="333" w:type="pct"/>
            <w:vMerge/>
            <w:vAlign w:val="center"/>
          </w:tcPr>
          <w:p w:rsidR="00B373FD">
            <w:pPr>
              <w:adjustRightInd w:val="0"/>
              <w:snapToGrid w:val="0"/>
              <w:spacing w:line="240" w:lineRule="auto"/>
              <w:jc w:val="center"/>
              <w:rPr>
                <w:rFonts w:eastAsia="宋体"/>
                <w:bCs/>
                <w:sz w:val="24"/>
                <w:szCs w:val="24"/>
              </w:rPr>
            </w:pPr>
          </w:p>
        </w:tc>
        <w:tc>
          <w:tcPr>
            <w:tcW w:w="2518" w:type="pct"/>
            <w:gridSpan w:val="3"/>
            <w:vAlign w:val="center"/>
          </w:tcPr>
          <w:p w:rsidR="00B373FD">
            <w:pPr>
              <w:adjustRightInd w:val="0"/>
              <w:snapToGrid w:val="0"/>
              <w:spacing w:line="240" w:lineRule="auto"/>
              <w:rPr>
                <w:rFonts w:eastAsia="宋体"/>
                <w:bCs/>
                <w:sz w:val="24"/>
                <w:szCs w:val="24"/>
              </w:rPr>
            </w:pPr>
            <w:r>
              <w:rPr>
                <w:rFonts w:eastAsia="宋体"/>
                <w:bCs/>
                <w:sz w:val="24"/>
                <w:szCs w:val="24"/>
              </w:rPr>
              <w:t>5.</w:t>
            </w:r>
            <w:r>
              <w:rPr>
                <w:rFonts w:eastAsia="宋体"/>
                <w:bCs/>
                <w:sz w:val="24"/>
                <w:szCs w:val="24"/>
              </w:rPr>
              <w:t>氨氮排放量削减比例</w:t>
            </w:r>
          </w:p>
        </w:tc>
        <w:tc>
          <w:tcPr>
            <w:tcW w:w="400" w:type="pct"/>
            <w:vAlign w:val="center"/>
          </w:tcPr>
          <w:p w:rsidR="00B373FD">
            <w:pPr>
              <w:snapToGrid w:val="0"/>
              <w:spacing w:line="240" w:lineRule="auto"/>
              <w:jc w:val="center"/>
              <w:rPr>
                <w:rFonts w:eastAsia="宋体"/>
                <w:bCs/>
                <w:sz w:val="24"/>
                <w:szCs w:val="24"/>
              </w:rPr>
            </w:pPr>
            <w:r>
              <w:rPr>
                <w:rFonts w:eastAsia="宋体"/>
                <w:bCs/>
                <w:sz w:val="24"/>
                <w:szCs w:val="24"/>
              </w:rPr>
              <w:t>%</w:t>
            </w:r>
          </w:p>
        </w:tc>
        <w:tc>
          <w:tcPr>
            <w:tcW w:w="636" w:type="pct"/>
            <w:vMerge/>
            <w:vAlign w:val="center"/>
          </w:tcPr>
          <w:p w:rsidR="00B373FD">
            <w:pPr>
              <w:adjustRightInd w:val="0"/>
              <w:snapToGrid w:val="0"/>
              <w:spacing w:line="240" w:lineRule="auto"/>
              <w:jc w:val="center"/>
              <w:rPr>
                <w:rFonts w:eastAsia="宋体"/>
                <w:bCs/>
                <w:sz w:val="24"/>
                <w:szCs w:val="24"/>
              </w:rPr>
            </w:pPr>
          </w:p>
        </w:tc>
        <w:tc>
          <w:tcPr>
            <w:tcW w:w="616" w:type="pct"/>
            <w:vMerge/>
            <w:vAlign w:val="center"/>
          </w:tcPr>
          <w:p w:rsidR="00B373FD">
            <w:pPr>
              <w:adjustRightInd w:val="0"/>
              <w:snapToGrid w:val="0"/>
              <w:spacing w:line="240" w:lineRule="auto"/>
              <w:jc w:val="center"/>
              <w:rPr>
                <w:rFonts w:eastAsia="宋体"/>
                <w:bCs/>
                <w:sz w:val="24"/>
                <w:szCs w:val="24"/>
              </w:rPr>
            </w:pPr>
          </w:p>
        </w:tc>
        <w:tc>
          <w:tcPr>
            <w:tcW w:w="494" w:type="pct"/>
            <w:vMerge/>
            <w:vAlign w:val="center"/>
          </w:tcPr>
          <w:p w:rsidR="00B373FD">
            <w:pPr>
              <w:adjustRightInd w:val="0"/>
              <w:snapToGrid w:val="0"/>
              <w:spacing w:line="240" w:lineRule="auto"/>
              <w:jc w:val="center"/>
              <w:rPr>
                <w:rFonts w:eastAsia="宋体"/>
                <w:bCs/>
                <w:sz w:val="24"/>
                <w:szCs w:val="24"/>
              </w:rPr>
            </w:pPr>
          </w:p>
        </w:tc>
      </w:tr>
      <w:tr>
        <w:tblPrEx>
          <w:tblW w:w="5036" w:type="pct"/>
          <w:jc w:val="center"/>
          <w:tblLayout w:type="fixed"/>
          <w:tblCellMar>
            <w:left w:w="0" w:type="dxa"/>
            <w:right w:w="0" w:type="dxa"/>
          </w:tblCellMar>
          <w:tblLook w:val="04A0"/>
        </w:tblPrEx>
        <w:trPr>
          <w:cantSplit/>
          <w:trHeight w:hRule="exact" w:val="510"/>
          <w:jc w:val="center"/>
        </w:trPr>
        <w:tc>
          <w:tcPr>
            <w:tcW w:w="333" w:type="pct"/>
            <w:vMerge/>
            <w:vAlign w:val="center"/>
          </w:tcPr>
          <w:p w:rsidR="00B373FD">
            <w:pPr>
              <w:adjustRightInd w:val="0"/>
              <w:snapToGrid w:val="0"/>
              <w:spacing w:line="240" w:lineRule="auto"/>
              <w:jc w:val="center"/>
              <w:rPr>
                <w:rFonts w:eastAsia="宋体"/>
                <w:bCs/>
                <w:sz w:val="24"/>
                <w:szCs w:val="24"/>
              </w:rPr>
            </w:pPr>
          </w:p>
        </w:tc>
        <w:tc>
          <w:tcPr>
            <w:tcW w:w="2518" w:type="pct"/>
            <w:gridSpan w:val="3"/>
            <w:vAlign w:val="center"/>
          </w:tcPr>
          <w:p w:rsidR="00B373FD">
            <w:pPr>
              <w:adjustRightInd w:val="0"/>
              <w:snapToGrid w:val="0"/>
              <w:spacing w:line="240" w:lineRule="auto"/>
              <w:rPr>
                <w:rFonts w:eastAsia="宋体"/>
                <w:bCs/>
                <w:sz w:val="24"/>
                <w:szCs w:val="24"/>
              </w:rPr>
            </w:pPr>
            <w:r>
              <w:rPr>
                <w:rFonts w:eastAsia="宋体"/>
                <w:bCs/>
                <w:sz w:val="24"/>
                <w:szCs w:val="24"/>
              </w:rPr>
              <w:t>6.</w:t>
            </w:r>
            <w:r>
              <w:rPr>
                <w:rFonts w:eastAsia="宋体"/>
                <w:bCs/>
                <w:sz w:val="24"/>
                <w:szCs w:val="24"/>
              </w:rPr>
              <w:t>总氮排放量削减比例</w:t>
            </w:r>
          </w:p>
        </w:tc>
        <w:tc>
          <w:tcPr>
            <w:tcW w:w="400" w:type="pct"/>
            <w:vAlign w:val="center"/>
          </w:tcPr>
          <w:p w:rsidR="00B373FD">
            <w:pPr>
              <w:adjustRightInd w:val="0"/>
              <w:snapToGrid w:val="0"/>
              <w:spacing w:line="240" w:lineRule="auto"/>
              <w:jc w:val="center"/>
              <w:rPr>
                <w:rFonts w:eastAsia="宋体"/>
                <w:bCs/>
                <w:sz w:val="24"/>
                <w:szCs w:val="24"/>
              </w:rPr>
            </w:pPr>
            <w:r>
              <w:rPr>
                <w:rFonts w:eastAsia="宋体"/>
                <w:bCs/>
                <w:sz w:val="24"/>
                <w:szCs w:val="24"/>
              </w:rPr>
              <w:t>%</w:t>
            </w:r>
          </w:p>
        </w:tc>
        <w:tc>
          <w:tcPr>
            <w:tcW w:w="636" w:type="pct"/>
            <w:vMerge/>
            <w:vAlign w:val="center"/>
          </w:tcPr>
          <w:p w:rsidR="00B373FD">
            <w:pPr>
              <w:adjustRightInd w:val="0"/>
              <w:snapToGrid w:val="0"/>
              <w:spacing w:line="240" w:lineRule="auto"/>
              <w:jc w:val="center"/>
              <w:rPr>
                <w:rFonts w:eastAsia="宋体"/>
                <w:bCs/>
                <w:sz w:val="24"/>
                <w:szCs w:val="24"/>
              </w:rPr>
            </w:pPr>
          </w:p>
        </w:tc>
        <w:tc>
          <w:tcPr>
            <w:tcW w:w="616" w:type="pct"/>
            <w:vMerge/>
            <w:vAlign w:val="center"/>
          </w:tcPr>
          <w:p w:rsidR="00B373FD">
            <w:pPr>
              <w:adjustRightInd w:val="0"/>
              <w:snapToGrid w:val="0"/>
              <w:spacing w:line="240" w:lineRule="auto"/>
              <w:jc w:val="center"/>
              <w:rPr>
                <w:rFonts w:eastAsia="宋体"/>
                <w:bCs/>
                <w:sz w:val="24"/>
                <w:szCs w:val="24"/>
              </w:rPr>
            </w:pPr>
          </w:p>
        </w:tc>
        <w:tc>
          <w:tcPr>
            <w:tcW w:w="494" w:type="pct"/>
            <w:vMerge/>
            <w:vAlign w:val="center"/>
          </w:tcPr>
          <w:p w:rsidR="00B373FD">
            <w:pPr>
              <w:adjustRightInd w:val="0"/>
              <w:snapToGrid w:val="0"/>
              <w:spacing w:line="240" w:lineRule="auto"/>
              <w:jc w:val="center"/>
              <w:rPr>
                <w:rFonts w:eastAsia="宋体"/>
                <w:bCs/>
                <w:sz w:val="24"/>
                <w:szCs w:val="24"/>
              </w:rPr>
            </w:pPr>
          </w:p>
        </w:tc>
      </w:tr>
      <w:tr>
        <w:tblPrEx>
          <w:tblW w:w="5036" w:type="pct"/>
          <w:jc w:val="center"/>
          <w:tblLayout w:type="fixed"/>
          <w:tblCellMar>
            <w:left w:w="0" w:type="dxa"/>
            <w:right w:w="0" w:type="dxa"/>
          </w:tblCellMar>
          <w:tblLook w:val="04A0"/>
        </w:tblPrEx>
        <w:trPr>
          <w:cantSplit/>
          <w:trHeight w:hRule="exact" w:val="510"/>
          <w:jc w:val="center"/>
        </w:trPr>
        <w:tc>
          <w:tcPr>
            <w:tcW w:w="333" w:type="pct"/>
            <w:vMerge/>
            <w:vAlign w:val="center"/>
          </w:tcPr>
          <w:p w:rsidR="00B373FD">
            <w:pPr>
              <w:adjustRightInd w:val="0"/>
              <w:snapToGrid w:val="0"/>
              <w:spacing w:line="240" w:lineRule="auto"/>
              <w:jc w:val="center"/>
              <w:rPr>
                <w:rFonts w:eastAsia="宋体"/>
                <w:bCs/>
                <w:sz w:val="24"/>
                <w:szCs w:val="24"/>
              </w:rPr>
            </w:pPr>
          </w:p>
        </w:tc>
        <w:tc>
          <w:tcPr>
            <w:tcW w:w="2518" w:type="pct"/>
            <w:gridSpan w:val="3"/>
            <w:vAlign w:val="center"/>
          </w:tcPr>
          <w:p w:rsidR="00B373FD">
            <w:pPr>
              <w:adjustRightInd w:val="0"/>
              <w:snapToGrid w:val="0"/>
              <w:spacing w:line="240" w:lineRule="auto"/>
              <w:rPr>
                <w:rFonts w:eastAsia="宋体"/>
                <w:bCs/>
                <w:sz w:val="24"/>
                <w:szCs w:val="24"/>
              </w:rPr>
            </w:pPr>
            <w:r>
              <w:rPr>
                <w:rFonts w:eastAsia="宋体"/>
                <w:bCs/>
                <w:sz w:val="24"/>
                <w:szCs w:val="24"/>
              </w:rPr>
              <w:t>7.</w:t>
            </w:r>
            <w:r>
              <w:rPr>
                <w:rFonts w:eastAsia="宋体"/>
                <w:bCs/>
                <w:sz w:val="24"/>
                <w:szCs w:val="24"/>
              </w:rPr>
              <w:t>总磷排放量削减比例</w:t>
            </w:r>
          </w:p>
        </w:tc>
        <w:tc>
          <w:tcPr>
            <w:tcW w:w="400" w:type="pct"/>
            <w:vAlign w:val="center"/>
          </w:tcPr>
          <w:p w:rsidR="00B373FD">
            <w:pPr>
              <w:adjustRightInd w:val="0"/>
              <w:snapToGrid w:val="0"/>
              <w:spacing w:line="240" w:lineRule="auto"/>
              <w:jc w:val="center"/>
              <w:rPr>
                <w:rFonts w:eastAsia="宋体"/>
                <w:bCs/>
                <w:sz w:val="24"/>
                <w:szCs w:val="24"/>
              </w:rPr>
            </w:pPr>
            <w:r>
              <w:rPr>
                <w:rFonts w:eastAsia="宋体"/>
                <w:bCs/>
                <w:sz w:val="24"/>
                <w:szCs w:val="24"/>
              </w:rPr>
              <w:t>%</w:t>
            </w:r>
          </w:p>
        </w:tc>
        <w:tc>
          <w:tcPr>
            <w:tcW w:w="636" w:type="pct"/>
            <w:vMerge/>
            <w:vAlign w:val="center"/>
          </w:tcPr>
          <w:p w:rsidR="00B373FD">
            <w:pPr>
              <w:adjustRightInd w:val="0"/>
              <w:snapToGrid w:val="0"/>
              <w:spacing w:line="240" w:lineRule="auto"/>
              <w:jc w:val="center"/>
              <w:rPr>
                <w:rFonts w:eastAsia="宋体"/>
                <w:bCs/>
                <w:sz w:val="24"/>
                <w:szCs w:val="24"/>
              </w:rPr>
            </w:pPr>
          </w:p>
        </w:tc>
        <w:tc>
          <w:tcPr>
            <w:tcW w:w="616" w:type="pct"/>
            <w:vMerge/>
            <w:vAlign w:val="center"/>
          </w:tcPr>
          <w:p w:rsidR="00B373FD">
            <w:pPr>
              <w:adjustRightInd w:val="0"/>
              <w:snapToGrid w:val="0"/>
              <w:spacing w:line="240" w:lineRule="auto"/>
              <w:jc w:val="center"/>
              <w:rPr>
                <w:rFonts w:eastAsia="宋体"/>
                <w:bCs/>
                <w:sz w:val="24"/>
                <w:szCs w:val="24"/>
              </w:rPr>
            </w:pPr>
          </w:p>
        </w:tc>
        <w:tc>
          <w:tcPr>
            <w:tcW w:w="494" w:type="pct"/>
            <w:vMerge/>
            <w:vAlign w:val="center"/>
          </w:tcPr>
          <w:p w:rsidR="00B373FD">
            <w:pPr>
              <w:adjustRightInd w:val="0"/>
              <w:snapToGrid w:val="0"/>
              <w:spacing w:line="240" w:lineRule="auto"/>
              <w:jc w:val="center"/>
              <w:rPr>
                <w:rFonts w:eastAsia="宋体"/>
                <w:bCs/>
                <w:sz w:val="24"/>
                <w:szCs w:val="24"/>
              </w:rPr>
            </w:pPr>
          </w:p>
        </w:tc>
      </w:tr>
      <w:tr>
        <w:tblPrEx>
          <w:tblW w:w="5036" w:type="pct"/>
          <w:jc w:val="center"/>
          <w:tblLayout w:type="fixed"/>
          <w:tblCellMar>
            <w:left w:w="0" w:type="dxa"/>
            <w:right w:w="0" w:type="dxa"/>
          </w:tblCellMar>
          <w:tblLook w:val="04A0"/>
        </w:tblPrEx>
        <w:trPr>
          <w:cantSplit/>
          <w:trHeight w:hRule="exact" w:val="510"/>
          <w:jc w:val="center"/>
        </w:trPr>
        <w:tc>
          <w:tcPr>
            <w:tcW w:w="333" w:type="pct"/>
            <w:vMerge w:val="restart"/>
            <w:textDirection w:val="tbRlV"/>
            <w:vAlign w:val="center"/>
          </w:tcPr>
          <w:p w:rsidR="00B373FD">
            <w:pPr>
              <w:adjustRightInd w:val="0"/>
              <w:snapToGrid w:val="0"/>
              <w:spacing w:line="240" w:lineRule="auto"/>
              <w:jc w:val="center"/>
              <w:rPr>
                <w:rFonts w:eastAsia="宋体"/>
                <w:bCs/>
                <w:sz w:val="24"/>
                <w:szCs w:val="24"/>
              </w:rPr>
            </w:pPr>
            <w:r>
              <w:rPr>
                <w:rFonts w:eastAsia="宋体"/>
                <w:bCs/>
                <w:sz w:val="24"/>
                <w:szCs w:val="24"/>
              </w:rPr>
              <w:t>空气环境</w:t>
            </w:r>
          </w:p>
        </w:tc>
        <w:tc>
          <w:tcPr>
            <w:tcW w:w="2518" w:type="pct"/>
            <w:gridSpan w:val="3"/>
            <w:vAlign w:val="center"/>
          </w:tcPr>
          <w:p w:rsidR="00B373FD">
            <w:pPr>
              <w:adjustRightInd w:val="0"/>
              <w:snapToGrid w:val="0"/>
              <w:spacing w:line="240" w:lineRule="auto"/>
              <w:rPr>
                <w:rFonts w:eastAsia="宋体"/>
                <w:bCs/>
                <w:sz w:val="24"/>
                <w:szCs w:val="24"/>
              </w:rPr>
            </w:pPr>
            <w:r>
              <w:rPr>
                <w:rFonts w:eastAsia="宋体"/>
                <w:bCs/>
                <w:sz w:val="24"/>
                <w:szCs w:val="24"/>
              </w:rPr>
              <w:t>8.</w:t>
            </w:r>
            <w:r>
              <w:rPr>
                <w:rFonts w:eastAsia="宋体"/>
                <w:bCs/>
                <w:sz w:val="24"/>
                <w:szCs w:val="24"/>
              </w:rPr>
              <w:t>空气质量达到优良天数比例</w:t>
            </w:r>
          </w:p>
        </w:tc>
        <w:tc>
          <w:tcPr>
            <w:tcW w:w="400" w:type="pct"/>
            <w:vAlign w:val="center"/>
          </w:tcPr>
          <w:p w:rsidR="00B373FD">
            <w:pPr>
              <w:adjustRightInd w:val="0"/>
              <w:snapToGrid w:val="0"/>
              <w:spacing w:line="240" w:lineRule="auto"/>
              <w:jc w:val="center"/>
              <w:rPr>
                <w:rFonts w:eastAsia="宋体"/>
                <w:bCs/>
                <w:sz w:val="24"/>
                <w:szCs w:val="24"/>
              </w:rPr>
            </w:pPr>
            <w:r>
              <w:rPr>
                <w:rFonts w:eastAsia="宋体"/>
                <w:bCs/>
                <w:sz w:val="24"/>
                <w:szCs w:val="24"/>
              </w:rPr>
              <w:t>%</w:t>
            </w:r>
          </w:p>
        </w:tc>
        <w:tc>
          <w:tcPr>
            <w:tcW w:w="636" w:type="pct"/>
            <w:vAlign w:val="center"/>
          </w:tcPr>
          <w:p w:rsidR="00B373FD">
            <w:pPr>
              <w:adjustRightInd w:val="0"/>
              <w:snapToGrid w:val="0"/>
              <w:spacing w:line="240" w:lineRule="auto"/>
              <w:jc w:val="center"/>
              <w:rPr>
                <w:rFonts w:eastAsia="宋体"/>
                <w:bCs/>
                <w:sz w:val="24"/>
                <w:szCs w:val="24"/>
              </w:rPr>
            </w:pPr>
            <w:r>
              <w:rPr>
                <w:rFonts w:eastAsia="宋体"/>
                <w:bCs/>
                <w:sz w:val="24"/>
                <w:szCs w:val="24"/>
              </w:rPr>
              <w:t>≥70</w:t>
            </w:r>
          </w:p>
        </w:tc>
        <w:tc>
          <w:tcPr>
            <w:tcW w:w="616" w:type="pct"/>
            <w:vAlign w:val="center"/>
          </w:tcPr>
          <w:p w:rsidR="00B373FD">
            <w:pPr>
              <w:adjustRightInd w:val="0"/>
              <w:snapToGrid w:val="0"/>
              <w:spacing w:line="240" w:lineRule="auto"/>
              <w:jc w:val="center"/>
              <w:rPr>
                <w:rFonts w:eastAsia="宋体"/>
                <w:bCs/>
                <w:sz w:val="24"/>
                <w:szCs w:val="24"/>
              </w:rPr>
            </w:pPr>
            <w:r>
              <w:rPr>
                <w:rFonts w:eastAsia="宋体"/>
                <w:bCs/>
                <w:sz w:val="24"/>
                <w:szCs w:val="24"/>
              </w:rPr>
              <w:t>85.2</w:t>
            </w:r>
          </w:p>
        </w:tc>
        <w:tc>
          <w:tcPr>
            <w:tcW w:w="494" w:type="pct"/>
            <w:vAlign w:val="center"/>
          </w:tcPr>
          <w:p w:rsidR="00B373FD">
            <w:pPr>
              <w:adjustRightInd w:val="0"/>
              <w:snapToGrid w:val="0"/>
              <w:spacing w:line="240" w:lineRule="auto"/>
              <w:jc w:val="center"/>
              <w:rPr>
                <w:rFonts w:eastAsia="宋体"/>
                <w:bCs/>
                <w:sz w:val="24"/>
                <w:szCs w:val="24"/>
              </w:rPr>
            </w:pPr>
            <w:r>
              <w:rPr>
                <w:rFonts w:eastAsia="宋体" w:hint="eastAsia"/>
                <w:bCs/>
                <w:sz w:val="24"/>
                <w:szCs w:val="24"/>
              </w:rPr>
              <w:t>已完成</w:t>
            </w:r>
          </w:p>
        </w:tc>
      </w:tr>
      <w:tr>
        <w:tblPrEx>
          <w:tblW w:w="5036" w:type="pct"/>
          <w:jc w:val="center"/>
          <w:tblLayout w:type="fixed"/>
          <w:tblCellMar>
            <w:left w:w="0" w:type="dxa"/>
            <w:right w:w="0" w:type="dxa"/>
          </w:tblCellMar>
          <w:tblLook w:val="04A0"/>
        </w:tblPrEx>
        <w:trPr>
          <w:cantSplit/>
          <w:trHeight w:hRule="exact" w:val="510"/>
          <w:jc w:val="center"/>
        </w:trPr>
        <w:tc>
          <w:tcPr>
            <w:tcW w:w="333" w:type="pct"/>
            <w:vMerge/>
            <w:textDirection w:val="tbRlV"/>
            <w:vAlign w:val="center"/>
          </w:tcPr>
          <w:p w:rsidR="00B373FD">
            <w:pPr>
              <w:adjustRightInd w:val="0"/>
              <w:snapToGrid w:val="0"/>
              <w:spacing w:line="240" w:lineRule="auto"/>
              <w:jc w:val="center"/>
              <w:rPr>
                <w:rFonts w:eastAsia="宋体"/>
                <w:bCs/>
                <w:sz w:val="24"/>
                <w:szCs w:val="24"/>
              </w:rPr>
            </w:pPr>
          </w:p>
        </w:tc>
        <w:tc>
          <w:tcPr>
            <w:tcW w:w="2518" w:type="pct"/>
            <w:gridSpan w:val="3"/>
            <w:vAlign w:val="center"/>
          </w:tcPr>
          <w:p w:rsidR="00B373FD">
            <w:pPr>
              <w:adjustRightInd w:val="0"/>
              <w:snapToGrid w:val="0"/>
              <w:spacing w:line="240" w:lineRule="auto"/>
              <w:rPr>
                <w:rFonts w:eastAsia="宋体"/>
                <w:bCs/>
                <w:sz w:val="24"/>
                <w:szCs w:val="24"/>
              </w:rPr>
            </w:pPr>
            <w:r>
              <w:rPr>
                <w:rFonts w:eastAsia="宋体"/>
                <w:bCs/>
                <w:sz w:val="24"/>
                <w:szCs w:val="24"/>
              </w:rPr>
              <w:t>9. PM</w:t>
            </w:r>
            <w:r>
              <w:rPr>
                <w:rFonts w:eastAsia="宋体"/>
                <w:bCs/>
                <w:sz w:val="24"/>
                <w:szCs w:val="24"/>
                <w:vertAlign w:val="subscript"/>
              </w:rPr>
              <w:t>2.5</w:t>
            </w:r>
            <w:r>
              <w:rPr>
                <w:rFonts w:eastAsia="宋体"/>
                <w:bCs/>
                <w:sz w:val="24"/>
                <w:szCs w:val="24"/>
              </w:rPr>
              <w:t>年均浓度总体下降比例</w:t>
            </w:r>
          </w:p>
        </w:tc>
        <w:tc>
          <w:tcPr>
            <w:tcW w:w="400" w:type="pct"/>
            <w:vAlign w:val="center"/>
          </w:tcPr>
          <w:p w:rsidR="00B373FD">
            <w:pPr>
              <w:adjustRightInd w:val="0"/>
              <w:snapToGrid w:val="0"/>
              <w:spacing w:line="240" w:lineRule="auto"/>
              <w:jc w:val="center"/>
              <w:rPr>
                <w:rFonts w:eastAsia="宋体"/>
                <w:bCs/>
                <w:sz w:val="24"/>
                <w:szCs w:val="24"/>
              </w:rPr>
            </w:pPr>
            <w:r>
              <w:rPr>
                <w:rFonts w:eastAsia="宋体"/>
                <w:bCs/>
                <w:sz w:val="24"/>
                <w:szCs w:val="24"/>
              </w:rPr>
              <w:t>%</w:t>
            </w:r>
          </w:p>
        </w:tc>
        <w:tc>
          <w:tcPr>
            <w:tcW w:w="636" w:type="pct"/>
            <w:vAlign w:val="center"/>
          </w:tcPr>
          <w:p w:rsidR="00B373FD">
            <w:pPr>
              <w:adjustRightInd w:val="0"/>
              <w:snapToGrid w:val="0"/>
              <w:spacing w:line="240" w:lineRule="auto"/>
              <w:jc w:val="center"/>
              <w:rPr>
                <w:rFonts w:eastAsia="宋体"/>
                <w:bCs/>
                <w:sz w:val="24"/>
                <w:szCs w:val="24"/>
              </w:rPr>
            </w:pPr>
            <w:r>
              <w:rPr>
                <w:rFonts w:eastAsia="宋体"/>
                <w:bCs/>
                <w:sz w:val="24"/>
                <w:szCs w:val="24"/>
              </w:rPr>
              <w:t>20</w:t>
            </w:r>
          </w:p>
        </w:tc>
        <w:tc>
          <w:tcPr>
            <w:tcW w:w="616" w:type="pct"/>
            <w:vAlign w:val="center"/>
          </w:tcPr>
          <w:p w:rsidR="00B373FD">
            <w:pPr>
              <w:adjustRightInd w:val="0"/>
              <w:snapToGrid w:val="0"/>
              <w:spacing w:line="240" w:lineRule="auto"/>
              <w:jc w:val="center"/>
              <w:rPr>
                <w:rFonts w:eastAsia="宋体"/>
                <w:bCs/>
                <w:sz w:val="24"/>
                <w:szCs w:val="24"/>
              </w:rPr>
            </w:pPr>
            <w:r>
              <w:rPr>
                <w:rFonts w:eastAsia="宋体"/>
                <w:bCs/>
                <w:sz w:val="24"/>
                <w:szCs w:val="24"/>
              </w:rPr>
              <w:t>36.6</w:t>
            </w:r>
            <w:r>
              <w:rPr>
                <w:rFonts w:eastAsia="宋体"/>
                <w:bCs/>
                <w:sz w:val="24"/>
                <w:szCs w:val="24"/>
                <w:vertAlign w:val="superscript"/>
              </w:rPr>
              <w:t>①</w:t>
            </w:r>
          </w:p>
        </w:tc>
        <w:tc>
          <w:tcPr>
            <w:tcW w:w="494" w:type="pct"/>
            <w:vAlign w:val="center"/>
          </w:tcPr>
          <w:p w:rsidR="00B373FD">
            <w:pPr>
              <w:adjustRightInd w:val="0"/>
              <w:snapToGrid w:val="0"/>
              <w:spacing w:line="240" w:lineRule="auto"/>
              <w:jc w:val="center"/>
              <w:rPr>
                <w:rFonts w:eastAsia="宋体"/>
                <w:bCs/>
                <w:sz w:val="24"/>
                <w:szCs w:val="24"/>
              </w:rPr>
            </w:pPr>
            <w:r>
              <w:rPr>
                <w:rFonts w:eastAsia="宋体" w:hint="eastAsia"/>
                <w:bCs/>
                <w:sz w:val="24"/>
                <w:szCs w:val="24"/>
              </w:rPr>
              <w:t>已完成</w:t>
            </w:r>
          </w:p>
        </w:tc>
      </w:tr>
      <w:tr>
        <w:tblPrEx>
          <w:tblW w:w="5036" w:type="pct"/>
          <w:jc w:val="center"/>
          <w:tblLayout w:type="fixed"/>
          <w:tblCellMar>
            <w:left w:w="0" w:type="dxa"/>
            <w:right w:w="0" w:type="dxa"/>
          </w:tblCellMar>
          <w:tblLook w:val="04A0"/>
        </w:tblPrEx>
        <w:trPr>
          <w:cantSplit/>
          <w:trHeight w:hRule="exact" w:val="719"/>
          <w:jc w:val="center"/>
        </w:trPr>
        <w:tc>
          <w:tcPr>
            <w:tcW w:w="333" w:type="pct"/>
            <w:vMerge/>
            <w:textDirection w:val="tbRlV"/>
            <w:vAlign w:val="center"/>
          </w:tcPr>
          <w:p w:rsidR="00B373FD">
            <w:pPr>
              <w:adjustRightInd w:val="0"/>
              <w:snapToGrid w:val="0"/>
              <w:spacing w:line="240" w:lineRule="auto"/>
              <w:jc w:val="center"/>
              <w:rPr>
                <w:rFonts w:eastAsia="宋体"/>
                <w:bCs/>
                <w:sz w:val="24"/>
                <w:szCs w:val="24"/>
              </w:rPr>
            </w:pPr>
          </w:p>
        </w:tc>
        <w:tc>
          <w:tcPr>
            <w:tcW w:w="2518" w:type="pct"/>
            <w:gridSpan w:val="3"/>
            <w:vAlign w:val="center"/>
          </w:tcPr>
          <w:p w:rsidR="00B373FD">
            <w:pPr>
              <w:adjustRightInd w:val="0"/>
              <w:snapToGrid w:val="0"/>
              <w:spacing w:line="240" w:lineRule="auto"/>
              <w:rPr>
                <w:rFonts w:eastAsia="宋体"/>
                <w:bCs/>
                <w:sz w:val="24"/>
                <w:szCs w:val="24"/>
              </w:rPr>
            </w:pPr>
            <w:r>
              <w:rPr>
                <w:rFonts w:eastAsia="宋体"/>
                <w:bCs/>
                <w:sz w:val="24"/>
                <w:szCs w:val="24"/>
              </w:rPr>
              <w:t>10.</w:t>
            </w:r>
            <w:r>
              <w:rPr>
                <w:rFonts w:eastAsia="宋体"/>
                <w:sz w:val="24"/>
                <w:szCs w:val="24"/>
              </w:rPr>
              <w:t>重度及以上污染天数总体下降比例</w:t>
            </w:r>
          </w:p>
        </w:tc>
        <w:tc>
          <w:tcPr>
            <w:tcW w:w="400" w:type="pct"/>
            <w:vAlign w:val="center"/>
          </w:tcPr>
          <w:p w:rsidR="00B373FD">
            <w:pPr>
              <w:adjustRightInd w:val="0"/>
              <w:snapToGrid w:val="0"/>
              <w:spacing w:line="240" w:lineRule="auto"/>
              <w:jc w:val="center"/>
              <w:rPr>
                <w:rFonts w:eastAsia="宋体"/>
                <w:bCs/>
                <w:sz w:val="24"/>
                <w:szCs w:val="24"/>
              </w:rPr>
            </w:pPr>
            <w:r>
              <w:rPr>
                <w:rFonts w:eastAsia="宋体"/>
                <w:bCs/>
                <w:sz w:val="24"/>
                <w:szCs w:val="24"/>
              </w:rPr>
              <w:t>%</w:t>
            </w:r>
          </w:p>
        </w:tc>
        <w:tc>
          <w:tcPr>
            <w:tcW w:w="636" w:type="pct"/>
            <w:vAlign w:val="center"/>
          </w:tcPr>
          <w:p w:rsidR="00B373FD">
            <w:pPr>
              <w:adjustRightInd w:val="0"/>
              <w:snapToGrid w:val="0"/>
              <w:spacing w:line="240" w:lineRule="auto"/>
              <w:jc w:val="center"/>
              <w:rPr>
                <w:rFonts w:eastAsia="宋体"/>
                <w:bCs/>
                <w:sz w:val="24"/>
                <w:szCs w:val="24"/>
              </w:rPr>
            </w:pPr>
            <w:r>
              <w:rPr>
                <w:rFonts w:eastAsia="宋体"/>
                <w:bCs/>
                <w:sz w:val="24"/>
                <w:szCs w:val="24"/>
              </w:rPr>
              <w:t>≥25</w:t>
            </w:r>
          </w:p>
        </w:tc>
        <w:tc>
          <w:tcPr>
            <w:tcW w:w="616" w:type="pct"/>
            <w:vAlign w:val="center"/>
          </w:tcPr>
          <w:p w:rsidR="00B373FD">
            <w:pPr>
              <w:adjustRightInd w:val="0"/>
              <w:snapToGrid w:val="0"/>
              <w:spacing w:line="240" w:lineRule="auto"/>
              <w:jc w:val="center"/>
              <w:rPr>
                <w:rFonts w:eastAsia="宋体"/>
                <w:bCs/>
                <w:color w:val="000000"/>
                <w:sz w:val="24"/>
                <w:szCs w:val="24"/>
              </w:rPr>
            </w:pPr>
            <w:r>
              <w:rPr>
                <w:rFonts w:eastAsia="宋体"/>
                <w:bCs/>
                <w:color w:val="000000"/>
                <w:sz w:val="24"/>
                <w:szCs w:val="24"/>
              </w:rPr>
              <w:t>无重度污染天气</w:t>
            </w:r>
          </w:p>
        </w:tc>
        <w:tc>
          <w:tcPr>
            <w:tcW w:w="494" w:type="pct"/>
            <w:vAlign w:val="center"/>
          </w:tcPr>
          <w:p w:rsidR="00B373FD">
            <w:pPr>
              <w:adjustRightInd w:val="0"/>
              <w:snapToGrid w:val="0"/>
              <w:spacing w:line="240" w:lineRule="auto"/>
              <w:jc w:val="center"/>
              <w:rPr>
                <w:rFonts w:eastAsia="宋体"/>
                <w:bCs/>
                <w:sz w:val="24"/>
                <w:szCs w:val="24"/>
              </w:rPr>
            </w:pPr>
            <w:r>
              <w:rPr>
                <w:rFonts w:eastAsia="宋体" w:hint="eastAsia"/>
                <w:bCs/>
                <w:sz w:val="24"/>
                <w:szCs w:val="24"/>
              </w:rPr>
              <w:t>已完成</w:t>
            </w:r>
          </w:p>
        </w:tc>
      </w:tr>
      <w:tr>
        <w:tblPrEx>
          <w:tblW w:w="5036" w:type="pct"/>
          <w:jc w:val="center"/>
          <w:tblLayout w:type="fixed"/>
          <w:tblCellMar>
            <w:left w:w="0" w:type="dxa"/>
            <w:right w:w="0" w:type="dxa"/>
          </w:tblCellMar>
          <w:tblLook w:val="04A0"/>
        </w:tblPrEx>
        <w:trPr>
          <w:cantSplit/>
          <w:trHeight w:hRule="exact" w:val="510"/>
          <w:jc w:val="center"/>
        </w:trPr>
        <w:tc>
          <w:tcPr>
            <w:tcW w:w="333" w:type="pct"/>
            <w:vMerge/>
            <w:textDirection w:val="tbRlV"/>
            <w:vAlign w:val="center"/>
          </w:tcPr>
          <w:p w:rsidR="00B373FD">
            <w:pPr>
              <w:adjustRightInd w:val="0"/>
              <w:snapToGrid w:val="0"/>
              <w:spacing w:line="240" w:lineRule="auto"/>
              <w:jc w:val="center"/>
              <w:rPr>
                <w:rFonts w:eastAsia="宋体"/>
                <w:bCs/>
                <w:sz w:val="24"/>
                <w:szCs w:val="24"/>
              </w:rPr>
            </w:pPr>
          </w:p>
        </w:tc>
        <w:tc>
          <w:tcPr>
            <w:tcW w:w="2518" w:type="pct"/>
            <w:gridSpan w:val="3"/>
            <w:vAlign w:val="center"/>
          </w:tcPr>
          <w:p w:rsidR="00B373FD">
            <w:pPr>
              <w:adjustRightInd w:val="0"/>
              <w:snapToGrid w:val="0"/>
              <w:spacing w:line="240" w:lineRule="auto"/>
              <w:rPr>
                <w:rFonts w:eastAsia="宋体"/>
                <w:bCs/>
                <w:sz w:val="24"/>
                <w:szCs w:val="24"/>
              </w:rPr>
            </w:pPr>
            <w:r>
              <w:rPr>
                <w:rFonts w:eastAsia="宋体"/>
                <w:bCs/>
                <w:sz w:val="24"/>
                <w:szCs w:val="24"/>
              </w:rPr>
              <w:t>11.</w:t>
            </w:r>
            <w:r>
              <w:rPr>
                <w:rFonts w:eastAsia="宋体"/>
                <w:bCs/>
                <w:sz w:val="24"/>
                <w:szCs w:val="24"/>
              </w:rPr>
              <w:t>二氧化硫排放量削减比例</w:t>
            </w:r>
          </w:p>
        </w:tc>
        <w:tc>
          <w:tcPr>
            <w:tcW w:w="400" w:type="pct"/>
            <w:vAlign w:val="center"/>
          </w:tcPr>
          <w:p w:rsidR="00B373FD">
            <w:pPr>
              <w:snapToGrid w:val="0"/>
              <w:spacing w:line="240" w:lineRule="auto"/>
              <w:jc w:val="center"/>
              <w:rPr>
                <w:rFonts w:eastAsia="宋体"/>
                <w:bCs/>
                <w:sz w:val="24"/>
                <w:szCs w:val="24"/>
              </w:rPr>
            </w:pPr>
            <w:r>
              <w:rPr>
                <w:rFonts w:eastAsia="宋体"/>
                <w:bCs/>
                <w:sz w:val="24"/>
                <w:szCs w:val="24"/>
              </w:rPr>
              <w:t>%</w:t>
            </w:r>
          </w:p>
        </w:tc>
        <w:tc>
          <w:tcPr>
            <w:tcW w:w="636" w:type="pct"/>
            <w:vMerge w:val="restart"/>
            <w:vAlign w:val="center"/>
          </w:tcPr>
          <w:p w:rsidR="00B373FD">
            <w:pPr>
              <w:adjustRightInd w:val="0"/>
              <w:snapToGrid w:val="0"/>
              <w:spacing w:line="240" w:lineRule="auto"/>
              <w:jc w:val="center"/>
              <w:rPr>
                <w:rFonts w:eastAsia="宋体"/>
                <w:bCs/>
                <w:sz w:val="24"/>
                <w:szCs w:val="24"/>
              </w:rPr>
            </w:pPr>
            <w:r>
              <w:rPr>
                <w:rFonts w:eastAsia="宋体"/>
                <w:bCs/>
                <w:sz w:val="24"/>
                <w:szCs w:val="24"/>
              </w:rPr>
              <w:t>完成上级下达目标</w:t>
            </w:r>
          </w:p>
        </w:tc>
        <w:tc>
          <w:tcPr>
            <w:tcW w:w="616" w:type="pct"/>
            <w:vMerge w:val="restart"/>
            <w:vAlign w:val="center"/>
          </w:tcPr>
          <w:p w:rsidR="00B373FD">
            <w:pPr>
              <w:adjustRightInd w:val="0"/>
              <w:snapToGrid w:val="0"/>
              <w:spacing w:line="240" w:lineRule="auto"/>
              <w:jc w:val="center"/>
              <w:rPr>
                <w:rFonts w:eastAsia="宋体"/>
                <w:bCs/>
                <w:sz w:val="24"/>
                <w:szCs w:val="24"/>
              </w:rPr>
            </w:pPr>
            <w:r>
              <w:rPr>
                <w:rFonts w:eastAsia="宋体"/>
                <w:bCs/>
                <w:sz w:val="24"/>
                <w:szCs w:val="24"/>
              </w:rPr>
              <w:t>完成上级下达目标</w:t>
            </w:r>
          </w:p>
        </w:tc>
        <w:tc>
          <w:tcPr>
            <w:tcW w:w="494" w:type="pct"/>
            <w:vMerge w:val="restart"/>
            <w:vAlign w:val="center"/>
          </w:tcPr>
          <w:p w:rsidR="00B373FD">
            <w:pPr>
              <w:adjustRightInd w:val="0"/>
              <w:snapToGrid w:val="0"/>
              <w:spacing w:line="240" w:lineRule="auto"/>
              <w:jc w:val="center"/>
              <w:rPr>
                <w:rFonts w:eastAsia="宋体"/>
                <w:bCs/>
                <w:sz w:val="24"/>
                <w:szCs w:val="24"/>
              </w:rPr>
            </w:pPr>
            <w:r>
              <w:rPr>
                <w:rFonts w:eastAsia="宋体" w:hint="eastAsia"/>
                <w:bCs/>
                <w:sz w:val="24"/>
                <w:szCs w:val="24"/>
              </w:rPr>
              <w:t>已完成</w:t>
            </w:r>
          </w:p>
        </w:tc>
      </w:tr>
      <w:tr>
        <w:tblPrEx>
          <w:tblW w:w="5036" w:type="pct"/>
          <w:jc w:val="center"/>
          <w:tblLayout w:type="fixed"/>
          <w:tblCellMar>
            <w:left w:w="0" w:type="dxa"/>
            <w:right w:w="0" w:type="dxa"/>
          </w:tblCellMar>
          <w:tblLook w:val="04A0"/>
        </w:tblPrEx>
        <w:trPr>
          <w:cantSplit/>
          <w:trHeight w:hRule="exact" w:val="510"/>
          <w:jc w:val="center"/>
        </w:trPr>
        <w:tc>
          <w:tcPr>
            <w:tcW w:w="333" w:type="pct"/>
            <w:vMerge/>
            <w:textDirection w:val="tbRlV"/>
            <w:vAlign w:val="center"/>
          </w:tcPr>
          <w:p w:rsidR="00B373FD">
            <w:pPr>
              <w:adjustRightInd w:val="0"/>
              <w:snapToGrid w:val="0"/>
              <w:spacing w:line="240" w:lineRule="auto"/>
              <w:jc w:val="center"/>
              <w:rPr>
                <w:rFonts w:eastAsia="宋体"/>
                <w:bCs/>
                <w:sz w:val="24"/>
                <w:szCs w:val="24"/>
              </w:rPr>
            </w:pPr>
          </w:p>
        </w:tc>
        <w:tc>
          <w:tcPr>
            <w:tcW w:w="2518" w:type="pct"/>
            <w:gridSpan w:val="3"/>
            <w:vAlign w:val="center"/>
          </w:tcPr>
          <w:p w:rsidR="00B373FD">
            <w:pPr>
              <w:adjustRightInd w:val="0"/>
              <w:snapToGrid w:val="0"/>
              <w:spacing w:line="240" w:lineRule="auto"/>
              <w:rPr>
                <w:rFonts w:eastAsia="宋体"/>
                <w:bCs/>
                <w:sz w:val="24"/>
                <w:szCs w:val="24"/>
              </w:rPr>
            </w:pPr>
            <w:r>
              <w:rPr>
                <w:rFonts w:eastAsia="宋体"/>
                <w:bCs/>
                <w:sz w:val="24"/>
                <w:szCs w:val="24"/>
              </w:rPr>
              <w:t>12.</w:t>
            </w:r>
            <w:r>
              <w:rPr>
                <w:rFonts w:eastAsia="宋体"/>
                <w:bCs/>
                <w:sz w:val="24"/>
                <w:szCs w:val="24"/>
              </w:rPr>
              <w:t>氮氧化物排放量削减比例</w:t>
            </w:r>
          </w:p>
        </w:tc>
        <w:tc>
          <w:tcPr>
            <w:tcW w:w="400" w:type="pct"/>
            <w:vAlign w:val="center"/>
          </w:tcPr>
          <w:p w:rsidR="00B373FD">
            <w:pPr>
              <w:snapToGrid w:val="0"/>
              <w:spacing w:line="240" w:lineRule="auto"/>
              <w:jc w:val="center"/>
              <w:rPr>
                <w:rFonts w:eastAsia="宋体"/>
                <w:bCs/>
                <w:sz w:val="24"/>
                <w:szCs w:val="24"/>
              </w:rPr>
            </w:pPr>
            <w:r>
              <w:rPr>
                <w:rFonts w:eastAsia="宋体"/>
                <w:bCs/>
                <w:sz w:val="24"/>
                <w:szCs w:val="24"/>
              </w:rPr>
              <w:t>%</w:t>
            </w:r>
          </w:p>
        </w:tc>
        <w:tc>
          <w:tcPr>
            <w:tcW w:w="636" w:type="pct"/>
            <w:vMerge/>
            <w:vAlign w:val="center"/>
          </w:tcPr>
          <w:p w:rsidR="00B373FD">
            <w:pPr>
              <w:widowControl/>
              <w:snapToGrid w:val="0"/>
              <w:spacing w:line="240" w:lineRule="auto"/>
              <w:jc w:val="center"/>
              <w:rPr>
                <w:rFonts w:eastAsia="宋体"/>
                <w:bCs/>
                <w:sz w:val="24"/>
                <w:szCs w:val="24"/>
              </w:rPr>
            </w:pPr>
          </w:p>
        </w:tc>
        <w:tc>
          <w:tcPr>
            <w:tcW w:w="616" w:type="pct"/>
            <w:vMerge/>
            <w:vAlign w:val="center"/>
          </w:tcPr>
          <w:p w:rsidR="00B373FD">
            <w:pPr>
              <w:widowControl/>
              <w:snapToGrid w:val="0"/>
              <w:spacing w:line="240" w:lineRule="auto"/>
              <w:jc w:val="center"/>
              <w:rPr>
                <w:rFonts w:eastAsia="宋体"/>
                <w:bCs/>
                <w:sz w:val="24"/>
                <w:szCs w:val="24"/>
              </w:rPr>
            </w:pPr>
          </w:p>
        </w:tc>
        <w:tc>
          <w:tcPr>
            <w:tcW w:w="494" w:type="pct"/>
            <w:vMerge/>
            <w:vAlign w:val="center"/>
          </w:tcPr>
          <w:p w:rsidR="00B373FD">
            <w:pPr>
              <w:widowControl/>
              <w:snapToGrid w:val="0"/>
              <w:spacing w:line="240" w:lineRule="auto"/>
              <w:jc w:val="center"/>
              <w:rPr>
                <w:rFonts w:eastAsia="宋体"/>
                <w:bCs/>
                <w:sz w:val="24"/>
                <w:szCs w:val="24"/>
              </w:rPr>
            </w:pPr>
          </w:p>
        </w:tc>
      </w:tr>
      <w:tr>
        <w:tblPrEx>
          <w:tblW w:w="5036" w:type="pct"/>
          <w:jc w:val="center"/>
          <w:tblLayout w:type="fixed"/>
          <w:tblCellMar>
            <w:left w:w="0" w:type="dxa"/>
            <w:right w:w="0" w:type="dxa"/>
          </w:tblCellMar>
          <w:tblLook w:val="04A0"/>
        </w:tblPrEx>
        <w:trPr>
          <w:cantSplit/>
          <w:trHeight w:hRule="exact" w:val="510"/>
          <w:jc w:val="center"/>
        </w:trPr>
        <w:tc>
          <w:tcPr>
            <w:tcW w:w="333" w:type="pct"/>
            <w:vMerge/>
            <w:textDirection w:val="tbRlV"/>
            <w:vAlign w:val="center"/>
          </w:tcPr>
          <w:p w:rsidR="00B373FD">
            <w:pPr>
              <w:adjustRightInd w:val="0"/>
              <w:snapToGrid w:val="0"/>
              <w:spacing w:line="240" w:lineRule="auto"/>
              <w:jc w:val="center"/>
              <w:rPr>
                <w:rFonts w:eastAsia="宋体"/>
                <w:bCs/>
                <w:sz w:val="24"/>
                <w:szCs w:val="24"/>
              </w:rPr>
            </w:pPr>
          </w:p>
        </w:tc>
        <w:tc>
          <w:tcPr>
            <w:tcW w:w="2518" w:type="pct"/>
            <w:gridSpan w:val="3"/>
            <w:vAlign w:val="center"/>
          </w:tcPr>
          <w:p w:rsidR="00B373FD">
            <w:pPr>
              <w:adjustRightInd w:val="0"/>
              <w:snapToGrid w:val="0"/>
              <w:spacing w:line="240" w:lineRule="auto"/>
              <w:rPr>
                <w:rFonts w:eastAsia="宋体"/>
                <w:bCs/>
                <w:sz w:val="24"/>
                <w:szCs w:val="24"/>
              </w:rPr>
            </w:pPr>
            <w:r>
              <w:rPr>
                <w:rFonts w:eastAsia="宋体"/>
                <w:bCs/>
                <w:sz w:val="24"/>
                <w:szCs w:val="24"/>
              </w:rPr>
              <w:t>13.</w:t>
            </w:r>
            <w:r>
              <w:rPr>
                <w:rFonts w:eastAsia="宋体"/>
                <w:bCs/>
                <w:sz w:val="24"/>
                <w:szCs w:val="24"/>
              </w:rPr>
              <w:t>挥发性有机物排放量削减比例</w:t>
            </w:r>
          </w:p>
        </w:tc>
        <w:tc>
          <w:tcPr>
            <w:tcW w:w="400" w:type="pct"/>
            <w:vAlign w:val="center"/>
          </w:tcPr>
          <w:p w:rsidR="00B373FD">
            <w:pPr>
              <w:snapToGrid w:val="0"/>
              <w:spacing w:line="240" w:lineRule="auto"/>
              <w:jc w:val="center"/>
              <w:rPr>
                <w:rFonts w:eastAsia="宋体"/>
                <w:bCs/>
                <w:sz w:val="24"/>
                <w:szCs w:val="24"/>
              </w:rPr>
            </w:pPr>
            <w:r>
              <w:rPr>
                <w:rFonts w:eastAsia="宋体"/>
                <w:bCs/>
                <w:sz w:val="24"/>
                <w:szCs w:val="24"/>
              </w:rPr>
              <w:t>%</w:t>
            </w:r>
          </w:p>
        </w:tc>
        <w:tc>
          <w:tcPr>
            <w:tcW w:w="636" w:type="pct"/>
            <w:vMerge/>
            <w:vAlign w:val="center"/>
          </w:tcPr>
          <w:p w:rsidR="00B373FD">
            <w:pPr>
              <w:widowControl/>
              <w:snapToGrid w:val="0"/>
              <w:spacing w:line="240" w:lineRule="auto"/>
              <w:jc w:val="center"/>
              <w:rPr>
                <w:rFonts w:eastAsia="宋体"/>
                <w:bCs/>
                <w:sz w:val="24"/>
                <w:szCs w:val="24"/>
              </w:rPr>
            </w:pPr>
          </w:p>
        </w:tc>
        <w:tc>
          <w:tcPr>
            <w:tcW w:w="616" w:type="pct"/>
            <w:vMerge/>
            <w:vAlign w:val="center"/>
          </w:tcPr>
          <w:p w:rsidR="00B373FD">
            <w:pPr>
              <w:widowControl/>
              <w:snapToGrid w:val="0"/>
              <w:spacing w:line="240" w:lineRule="auto"/>
              <w:jc w:val="center"/>
              <w:rPr>
                <w:rFonts w:eastAsia="宋体"/>
                <w:bCs/>
                <w:sz w:val="24"/>
                <w:szCs w:val="24"/>
              </w:rPr>
            </w:pPr>
          </w:p>
        </w:tc>
        <w:tc>
          <w:tcPr>
            <w:tcW w:w="494" w:type="pct"/>
            <w:vMerge/>
            <w:vAlign w:val="center"/>
          </w:tcPr>
          <w:p w:rsidR="00B373FD">
            <w:pPr>
              <w:widowControl/>
              <w:snapToGrid w:val="0"/>
              <w:spacing w:line="240" w:lineRule="auto"/>
              <w:jc w:val="center"/>
              <w:rPr>
                <w:rFonts w:eastAsia="宋体"/>
                <w:bCs/>
                <w:sz w:val="24"/>
                <w:szCs w:val="24"/>
              </w:rPr>
            </w:pPr>
          </w:p>
        </w:tc>
      </w:tr>
      <w:tr>
        <w:tblPrEx>
          <w:tblW w:w="5036" w:type="pct"/>
          <w:jc w:val="center"/>
          <w:tblLayout w:type="fixed"/>
          <w:tblCellMar>
            <w:left w:w="0" w:type="dxa"/>
            <w:right w:w="0" w:type="dxa"/>
          </w:tblCellMar>
          <w:tblLook w:val="04A0"/>
        </w:tblPrEx>
        <w:trPr>
          <w:cantSplit/>
          <w:trHeight w:hRule="exact" w:val="510"/>
          <w:jc w:val="center"/>
        </w:trPr>
        <w:tc>
          <w:tcPr>
            <w:tcW w:w="333" w:type="pct"/>
            <w:vMerge w:val="restart"/>
            <w:textDirection w:val="tbRlV"/>
            <w:vAlign w:val="center"/>
          </w:tcPr>
          <w:p w:rsidR="00B373FD">
            <w:pPr>
              <w:adjustRightInd w:val="0"/>
              <w:snapToGrid w:val="0"/>
              <w:spacing w:line="240" w:lineRule="auto"/>
              <w:jc w:val="center"/>
              <w:rPr>
                <w:rFonts w:eastAsia="宋体"/>
                <w:bCs/>
                <w:sz w:val="24"/>
                <w:szCs w:val="24"/>
              </w:rPr>
            </w:pPr>
            <w:r>
              <w:rPr>
                <w:rFonts w:eastAsia="宋体"/>
                <w:bCs/>
                <w:sz w:val="24"/>
                <w:szCs w:val="24"/>
              </w:rPr>
              <w:t>土壤环境</w:t>
            </w:r>
          </w:p>
        </w:tc>
        <w:tc>
          <w:tcPr>
            <w:tcW w:w="2518" w:type="pct"/>
            <w:gridSpan w:val="3"/>
            <w:vAlign w:val="center"/>
          </w:tcPr>
          <w:p w:rsidR="00B373FD">
            <w:pPr>
              <w:adjustRightInd w:val="0"/>
              <w:snapToGrid w:val="0"/>
              <w:spacing w:line="240" w:lineRule="auto"/>
              <w:rPr>
                <w:rFonts w:eastAsia="宋体"/>
                <w:bCs/>
                <w:sz w:val="24"/>
                <w:szCs w:val="24"/>
              </w:rPr>
            </w:pPr>
            <w:r>
              <w:rPr>
                <w:rFonts w:eastAsia="宋体"/>
                <w:bCs/>
                <w:sz w:val="24"/>
                <w:szCs w:val="24"/>
              </w:rPr>
              <w:t>14.</w:t>
            </w:r>
            <w:r>
              <w:rPr>
                <w:rFonts w:eastAsia="宋体"/>
                <w:bCs/>
                <w:sz w:val="24"/>
                <w:szCs w:val="24"/>
              </w:rPr>
              <w:t>受污染耕地安全利用率</w:t>
            </w:r>
          </w:p>
        </w:tc>
        <w:tc>
          <w:tcPr>
            <w:tcW w:w="400" w:type="pct"/>
            <w:vAlign w:val="center"/>
          </w:tcPr>
          <w:p w:rsidR="00B373FD">
            <w:pPr>
              <w:adjustRightInd w:val="0"/>
              <w:snapToGrid w:val="0"/>
              <w:spacing w:line="240" w:lineRule="auto"/>
              <w:jc w:val="center"/>
              <w:rPr>
                <w:rFonts w:eastAsia="宋体"/>
                <w:bCs/>
                <w:sz w:val="24"/>
                <w:szCs w:val="24"/>
              </w:rPr>
            </w:pPr>
            <w:r>
              <w:rPr>
                <w:rFonts w:eastAsia="宋体"/>
                <w:bCs/>
                <w:sz w:val="24"/>
                <w:szCs w:val="24"/>
              </w:rPr>
              <w:t>%</w:t>
            </w:r>
          </w:p>
        </w:tc>
        <w:tc>
          <w:tcPr>
            <w:tcW w:w="636" w:type="pct"/>
            <w:vAlign w:val="center"/>
          </w:tcPr>
          <w:p w:rsidR="00B373FD">
            <w:pPr>
              <w:adjustRightInd w:val="0"/>
              <w:snapToGrid w:val="0"/>
              <w:spacing w:line="240" w:lineRule="auto"/>
              <w:jc w:val="center"/>
              <w:rPr>
                <w:rFonts w:eastAsia="宋体"/>
                <w:bCs/>
                <w:sz w:val="24"/>
                <w:szCs w:val="24"/>
              </w:rPr>
            </w:pPr>
            <w:r>
              <w:rPr>
                <w:rFonts w:eastAsia="宋体"/>
                <w:bCs/>
                <w:sz w:val="24"/>
                <w:szCs w:val="24"/>
              </w:rPr>
              <w:t>≥90</w:t>
            </w:r>
          </w:p>
        </w:tc>
        <w:tc>
          <w:tcPr>
            <w:tcW w:w="616" w:type="pct"/>
            <w:vAlign w:val="center"/>
          </w:tcPr>
          <w:p w:rsidR="00B373FD">
            <w:pPr>
              <w:adjustRightInd w:val="0"/>
              <w:snapToGrid w:val="0"/>
              <w:spacing w:line="240" w:lineRule="auto"/>
              <w:jc w:val="center"/>
              <w:rPr>
                <w:rFonts w:eastAsia="宋体"/>
                <w:bCs/>
                <w:sz w:val="24"/>
                <w:szCs w:val="24"/>
              </w:rPr>
            </w:pPr>
            <w:r>
              <w:rPr>
                <w:rFonts w:eastAsia="宋体"/>
                <w:bCs/>
                <w:sz w:val="24"/>
                <w:szCs w:val="24"/>
              </w:rPr>
              <w:t>90</w:t>
            </w:r>
          </w:p>
        </w:tc>
        <w:tc>
          <w:tcPr>
            <w:tcW w:w="494" w:type="pct"/>
            <w:vAlign w:val="center"/>
          </w:tcPr>
          <w:p w:rsidR="00B373FD">
            <w:pPr>
              <w:adjustRightInd w:val="0"/>
              <w:snapToGrid w:val="0"/>
              <w:spacing w:line="240" w:lineRule="auto"/>
              <w:jc w:val="center"/>
              <w:rPr>
                <w:rFonts w:eastAsia="宋体"/>
                <w:bCs/>
                <w:sz w:val="24"/>
                <w:szCs w:val="24"/>
              </w:rPr>
            </w:pPr>
            <w:r>
              <w:rPr>
                <w:rFonts w:eastAsia="宋体" w:hint="eastAsia"/>
                <w:bCs/>
                <w:sz w:val="24"/>
                <w:szCs w:val="24"/>
              </w:rPr>
              <w:t>已完成</w:t>
            </w:r>
          </w:p>
        </w:tc>
      </w:tr>
      <w:tr>
        <w:tblPrEx>
          <w:tblW w:w="5036" w:type="pct"/>
          <w:jc w:val="center"/>
          <w:tblLayout w:type="fixed"/>
          <w:tblCellMar>
            <w:left w:w="0" w:type="dxa"/>
            <w:right w:w="0" w:type="dxa"/>
          </w:tblCellMar>
          <w:tblLook w:val="04A0"/>
        </w:tblPrEx>
        <w:trPr>
          <w:cantSplit/>
          <w:trHeight w:hRule="exact" w:val="510"/>
          <w:jc w:val="center"/>
        </w:trPr>
        <w:tc>
          <w:tcPr>
            <w:tcW w:w="333" w:type="pct"/>
            <w:vMerge/>
            <w:textDirection w:val="tbRlV"/>
            <w:vAlign w:val="center"/>
          </w:tcPr>
          <w:p w:rsidR="00B373FD">
            <w:pPr>
              <w:adjustRightInd w:val="0"/>
              <w:snapToGrid w:val="0"/>
              <w:spacing w:line="240" w:lineRule="auto"/>
              <w:jc w:val="center"/>
              <w:rPr>
                <w:rFonts w:eastAsia="宋体"/>
                <w:bCs/>
                <w:sz w:val="24"/>
                <w:szCs w:val="24"/>
              </w:rPr>
            </w:pPr>
          </w:p>
        </w:tc>
        <w:tc>
          <w:tcPr>
            <w:tcW w:w="2518" w:type="pct"/>
            <w:gridSpan w:val="3"/>
            <w:vAlign w:val="center"/>
          </w:tcPr>
          <w:p w:rsidR="00B373FD">
            <w:pPr>
              <w:adjustRightInd w:val="0"/>
              <w:snapToGrid w:val="0"/>
              <w:spacing w:line="240" w:lineRule="auto"/>
              <w:rPr>
                <w:rFonts w:eastAsia="宋体"/>
                <w:bCs/>
                <w:sz w:val="24"/>
                <w:szCs w:val="24"/>
              </w:rPr>
            </w:pPr>
            <w:r>
              <w:rPr>
                <w:rFonts w:eastAsia="宋体"/>
                <w:bCs/>
                <w:sz w:val="24"/>
                <w:szCs w:val="24"/>
              </w:rPr>
              <w:t>15.</w:t>
            </w:r>
            <w:r>
              <w:rPr>
                <w:rFonts w:eastAsia="宋体"/>
                <w:bCs/>
                <w:sz w:val="24"/>
                <w:szCs w:val="24"/>
              </w:rPr>
              <w:t>污染地块安全利用率</w:t>
            </w:r>
          </w:p>
        </w:tc>
        <w:tc>
          <w:tcPr>
            <w:tcW w:w="400" w:type="pct"/>
            <w:vAlign w:val="center"/>
          </w:tcPr>
          <w:p w:rsidR="00B373FD">
            <w:pPr>
              <w:adjustRightInd w:val="0"/>
              <w:snapToGrid w:val="0"/>
              <w:spacing w:line="240" w:lineRule="auto"/>
              <w:jc w:val="center"/>
              <w:rPr>
                <w:rFonts w:eastAsia="宋体"/>
                <w:bCs/>
                <w:sz w:val="24"/>
                <w:szCs w:val="24"/>
              </w:rPr>
            </w:pPr>
            <w:r>
              <w:rPr>
                <w:rFonts w:eastAsia="宋体"/>
                <w:bCs/>
                <w:sz w:val="24"/>
                <w:szCs w:val="24"/>
              </w:rPr>
              <w:t>%</w:t>
            </w:r>
          </w:p>
        </w:tc>
        <w:tc>
          <w:tcPr>
            <w:tcW w:w="636" w:type="pct"/>
            <w:vAlign w:val="center"/>
          </w:tcPr>
          <w:p w:rsidR="00B373FD">
            <w:pPr>
              <w:adjustRightInd w:val="0"/>
              <w:snapToGrid w:val="0"/>
              <w:spacing w:line="240" w:lineRule="auto"/>
              <w:jc w:val="center"/>
              <w:rPr>
                <w:rFonts w:eastAsia="宋体"/>
                <w:bCs/>
                <w:sz w:val="24"/>
                <w:szCs w:val="24"/>
              </w:rPr>
            </w:pPr>
            <w:r>
              <w:rPr>
                <w:rFonts w:eastAsia="宋体"/>
                <w:bCs/>
                <w:sz w:val="24"/>
                <w:szCs w:val="24"/>
              </w:rPr>
              <w:t>≥90</w:t>
            </w:r>
          </w:p>
        </w:tc>
        <w:tc>
          <w:tcPr>
            <w:tcW w:w="616" w:type="pct"/>
            <w:vAlign w:val="center"/>
          </w:tcPr>
          <w:p w:rsidR="00B373FD">
            <w:pPr>
              <w:adjustRightInd w:val="0"/>
              <w:snapToGrid w:val="0"/>
              <w:spacing w:line="240" w:lineRule="auto"/>
              <w:jc w:val="center"/>
              <w:rPr>
                <w:rFonts w:eastAsia="宋体"/>
                <w:bCs/>
                <w:sz w:val="24"/>
                <w:szCs w:val="24"/>
              </w:rPr>
            </w:pPr>
            <w:r>
              <w:rPr>
                <w:rFonts w:eastAsia="宋体"/>
                <w:bCs/>
                <w:sz w:val="24"/>
                <w:szCs w:val="24"/>
              </w:rPr>
              <w:t>90</w:t>
            </w:r>
          </w:p>
        </w:tc>
        <w:tc>
          <w:tcPr>
            <w:tcW w:w="494" w:type="pct"/>
            <w:vAlign w:val="center"/>
          </w:tcPr>
          <w:p w:rsidR="00B373FD">
            <w:pPr>
              <w:adjustRightInd w:val="0"/>
              <w:snapToGrid w:val="0"/>
              <w:spacing w:line="240" w:lineRule="auto"/>
              <w:jc w:val="center"/>
              <w:rPr>
                <w:rFonts w:eastAsia="宋体"/>
                <w:bCs/>
                <w:sz w:val="24"/>
                <w:szCs w:val="24"/>
              </w:rPr>
            </w:pPr>
            <w:r>
              <w:rPr>
                <w:rFonts w:eastAsia="宋体" w:hint="eastAsia"/>
                <w:bCs/>
                <w:sz w:val="24"/>
                <w:szCs w:val="24"/>
              </w:rPr>
              <w:t>已完成</w:t>
            </w:r>
          </w:p>
        </w:tc>
      </w:tr>
      <w:tr>
        <w:tblPrEx>
          <w:tblW w:w="5036" w:type="pct"/>
          <w:jc w:val="center"/>
          <w:tblLayout w:type="fixed"/>
          <w:tblCellMar>
            <w:left w:w="0" w:type="dxa"/>
            <w:right w:w="0" w:type="dxa"/>
          </w:tblCellMar>
          <w:tblLook w:val="04A0"/>
        </w:tblPrEx>
        <w:trPr>
          <w:cantSplit/>
          <w:trHeight w:hRule="exact" w:val="935"/>
          <w:jc w:val="center"/>
        </w:trPr>
        <w:tc>
          <w:tcPr>
            <w:tcW w:w="333" w:type="pct"/>
            <w:textDirection w:val="tbRlV"/>
            <w:vAlign w:val="center"/>
          </w:tcPr>
          <w:p w:rsidR="00B373FD">
            <w:pPr>
              <w:adjustRightInd w:val="0"/>
              <w:snapToGrid w:val="0"/>
              <w:spacing w:line="240" w:lineRule="auto"/>
              <w:jc w:val="center"/>
              <w:rPr>
                <w:rFonts w:eastAsia="宋体"/>
                <w:bCs/>
                <w:sz w:val="24"/>
                <w:szCs w:val="24"/>
              </w:rPr>
            </w:pPr>
            <w:r>
              <w:rPr>
                <w:rFonts w:eastAsia="宋体"/>
                <w:bCs/>
                <w:sz w:val="24"/>
                <w:szCs w:val="24"/>
              </w:rPr>
              <w:t>声环境</w:t>
            </w:r>
          </w:p>
        </w:tc>
        <w:tc>
          <w:tcPr>
            <w:tcW w:w="2518" w:type="pct"/>
            <w:gridSpan w:val="3"/>
            <w:vAlign w:val="center"/>
          </w:tcPr>
          <w:p w:rsidR="00B373FD">
            <w:pPr>
              <w:adjustRightInd w:val="0"/>
              <w:snapToGrid w:val="0"/>
              <w:spacing w:line="240" w:lineRule="auto"/>
              <w:rPr>
                <w:rFonts w:eastAsia="宋体"/>
                <w:bCs/>
                <w:sz w:val="24"/>
                <w:szCs w:val="24"/>
              </w:rPr>
            </w:pPr>
            <w:r>
              <w:rPr>
                <w:rFonts w:eastAsia="宋体"/>
                <w:bCs/>
                <w:sz w:val="24"/>
                <w:szCs w:val="24"/>
              </w:rPr>
              <w:t>16.</w:t>
            </w:r>
            <w:r>
              <w:rPr>
                <w:rFonts w:eastAsia="宋体"/>
                <w:bCs/>
                <w:sz w:val="24"/>
                <w:szCs w:val="24"/>
              </w:rPr>
              <w:t>城市区域环境噪声值</w:t>
            </w:r>
          </w:p>
        </w:tc>
        <w:tc>
          <w:tcPr>
            <w:tcW w:w="400" w:type="pct"/>
            <w:vAlign w:val="center"/>
          </w:tcPr>
          <w:p w:rsidR="00B373FD">
            <w:pPr>
              <w:adjustRightInd w:val="0"/>
              <w:snapToGrid w:val="0"/>
              <w:spacing w:line="240" w:lineRule="auto"/>
              <w:jc w:val="center"/>
              <w:rPr>
                <w:rFonts w:eastAsia="宋体"/>
                <w:bCs/>
                <w:sz w:val="24"/>
                <w:szCs w:val="24"/>
              </w:rPr>
            </w:pPr>
            <w:r>
              <w:rPr>
                <w:rFonts w:eastAsia="宋体"/>
                <w:bCs/>
                <w:sz w:val="24"/>
                <w:szCs w:val="24"/>
              </w:rPr>
              <w:t>dB(A)</w:t>
            </w:r>
          </w:p>
        </w:tc>
        <w:tc>
          <w:tcPr>
            <w:tcW w:w="636" w:type="pct"/>
            <w:vAlign w:val="center"/>
          </w:tcPr>
          <w:p w:rsidR="00B373FD">
            <w:pPr>
              <w:adjustRightInd w:val="0"/>
              <w:snapToGrid w:val="0"/>
              <w:spacing w:line="240" w:lineRule="auto"/>
              <w:jc w:val="center"/>
              <w:rPr>
                <w:rFonts w:eastAsia="宋体"/>
                <w:bCs/>
                <w:sz w:val="24"/>
                <w:szCs w:val="24"/>
              </w:rPr>
            </w:pPr>
            <w:r>
              <w:rPr>
                <w:rFonts w:eastAsia="宋体"/>
                <w:bCs/>
                <w:sz w:val="24"/>
                <w:szCs w:val="24"/>
              </w:rPr>
              <w:t>≤55</w:t>
            </w:r>
          </w:p>
        </w:tc>
        <w:tc>
          <w:tcPr>
            <w:tcW w:w="616" w:type="pct"/>
            <w:vAlign w:val="center"/>
          </w:tcPr>
          <w:p w:rsidR="00B373FD">
            <w:pPr>
              <w:adjustRightInd w:val="0"/>
              <w:snapToGrid w:val="0"/>
              <w:spacing w:line="240" w:lineRule="auto"/>
              <w:jc w:val="center"/>
              <w:rPr>
                <w:rFonts w:eastAsia="宋体"/>
                <w:bCs/>
                <w:sz w:val="24"/>
                <w:szCs w:val="24"/>
              </w:rPr>
            </w:pPr>
            <w:r>
              <w:rPr>
                <w:rFonts w:eastAsia="宋体"/>
                <w:bCs/>
                <w:sz w:val="24"/>
                <w:szCs w:val="24"/>
              </w:rPr>
              <w:t>55.9</w:t>
            </w:r>
          </w:p>
        </w:tc>
        <w:tc>
          <w:tcPr>
            <w:tcW w:w="494" w:type="pct"/>
            <w:vAlign w:val="center"/>
          </w:tcPr>
          <w:p w:rsidR="00B373FD">
            <w:pPr>
              <w:adjustRightInd w:val="0"/>
              <w:snapToGrid w:val="0"/>
              <w:spacing w:line="240" w:lineRule="auto"/>
              <w:jc w:val="center"/>
              <w:rPr>
                <w:rFonts w:eastAsia="宋体"/>
                <w:bCs/>
                <w:sz w:val="24"/>
                <w:szCs w:val="24"/>
              </w:rPr>
            </w:pPr>
            <w:r>
              <w:rPr>
                <w:rFonts w:eastAsia="宋体" w:hint="eastAsia"/>
                <w:bCs/>
                <w:sz w:val="24"/>
                <w:szCs w:val="24"/>
              </w:rPr>
              <w:t>未完成</w:t>
            </w:r>
          </w:p>
        </w:tc>
      </w:tr>
      <w:tr>
        <w:tblPrEx>
          <w:tblW w:w="5036" w:type="pct"/>
          <w:jc w:val="center"/>
          <w:tblLayout w:type="fixed"/>
          <w:tblCellMar>
            <w:left w:w="0" w:type="dxa"/>
            <w:right w:w="0" w:type="dxa"/>
          </w:tblCellMar>
          <w:tblLook w:val="04A0"/>
        </w:tblPrEx>
        <w:trPr>
          <w:cantSplit/>
          <w:trHeight w:hRule="exact" w:val="510"/>
          <w:jc w:val="center"/>
        </w:trPr>
        <w:tc>
          <w:tcPr>
            <w:tcW w:w="333" w:type="pct"/>
            <w:vMerge w:val="restart"/>
            <w:textDirection w:val="tbRlV"/>
            <w:vAlign w:val="center"/>
          </w:tcPr>
          <w:p w:rsidR="00B373FD">
            <w:pPr>
              <w:adjustRightInd w:val="0"/>
              <w:snapToGrid w:val="0"/>
              <w:spacing w:line="240" w:lineRule="auto"/>
              <w:jc w:val="center"/>
              <w:rPr>
                <w:rFonts w:eastAsia="宋体"/>
                <w:bCs/>
                <w:sz w:val="24"/>
                <w:szCs w:val="24"/>
              </w:rPr>
            </w:pPr>
            <w:r>
              <w:rPr>
                <w:rFonts w:eastAsia="宋体"/>
                <w:bCs/>
                <w:sz w:val="24"/>
                <w:szCs w:val="24"/>
              </w:rPr>
              <w:t>生态系统</w:t>
            </w:r>
          </w:p>
        </w:tc>
        <w:tc>
          <w:tcPr>
            <w:tcW w:w="1088" w:type="pct"/>
            <w:vMerge w:val="restart"/>
            <w:vAlign w:val="center"/>
          </w:tcPr>
          <w:p w:rsidR="00B373FD">
            <w:pPr>
              <w:adjustRightInd w:val="0"/>
              <w:snapToGrid w:val="0"/>
              <w:spacing w:line="240" w:lineRule="auto"/>
              <w:ind w:left="25"/>
              <w:rPr>
                <w:rFonts w:eastAsia="宋体"/>
                <w:bCs/>
                <w:sz w:val="24"/>
                <w:szCs w:val="24"/>
              </w:rPr>
            </w:pPr>
            <w:r>
              <w:rPr>
                <w:rFonts w:eastAsia="宋体"/>
                <w:bCs/>
                <w:sz w:val="24"/>
                <w:szCs w:val="24"/>
              </w:rPr>
              <w:t>17.“</w:t>
            </w:r>
            <w:r>
              <w:rPr>
                <w:rFonts w:eastAsia="宋体"/>
                <w:bCs/>
                <w:sz w:val="24"/>
                <w:szCs w:val="24"/>
              </w:rPr>
              <w:t>四个十万亩</w:t>
            </w:r>
            <w:r>
              <w:rPr>
                <w:rFonts w:eastAsia="宋体"/>
                <w:bCs/>
                <w:sz w:val="24"/>
                <w:szCs w:val="24"/>
              </w:rPr>
              <w:t>”</w:t>
            </w:r>
          </w:p>
        </w:tc>
        <w:tc>
          <w:tcPr>
            <w:tcW w:w="1430" w:type="pct"/>
            <w:gridSpan w:val="2"/>
            <w:vAlign w:val="center"/>
          </w:tcPr>
          <w:p w:rsidR="00B373FD">
            <w:pPr>
              <w:adjustRightInd w:val="0"/>
              <w:snapToGrid w:val="0"/>
              <w:spacing w:line="240" w:lineRule="auto"/>
              <w:rPr>
                <w:rFonts w:eastAsia="宋体"/>
                <w:bCs/>
                <w:sz w:val="24"/>
                <w:szCs w:val="24"/>
              </w:rPr>
            </w:pPr>
            <w:r>
              <w:rPr>
                <w:rFonts w:eastAsia="宋体"/>
                <w:bCs/>
                <w:sz w:val="24"/>
                <w:szCs w:val="24"/>
              </w:rPr>
              <w:t>优质水稻</w:t>
            </w:r>
          </w:p>
        </w:tc>
        <w:tc>
          <w:tcPr>
            <w:tcW w:w="400" w:type="pct"/>
            <w:vAlign w:val="center"/>
          </w:tcPr>
          <w:p w:rsidR="00B373FD">
            <w:pPr>
              <w:adjustRightInd w:val="0"/>
              <w:snapToGrid w:val="0"/>
              <w:spacing w:line="240" w:lineRule="auto"/>
              <w:jc w:val="center"/>
              <w:rPr>
                <w:rFonts w:eastAsia="宋体"/>
                <w:bCs/>
                <w:sz w:val="24"/>
                <w:szCs w:val="24"/>
              </w:rPr>
            </w:pPr>
            <w:r>
              <w:rPr>
                <w:rFonts w:eastAsia="宋体"/>
                <w:bCs/>
                <w:sz w:val="24"/>
                <w:szCs w:val="24"/>
              </w:rPr>
              <w:t>亩</w:t>
            </w:r>
          </w:p>
        </w:tc>
        <w:tc>
          <w:tcPr>
            <w:tcW w:w="636" w:type="pct"/>
            <w:vAlign w:val="center"/>
          </w:tcPr>
          <w:p w:rsidR="00B373FD">
            <w:pPr>
              <w:snapToGrid w:val="0"/>
              <w:spacing w:line="240" w:lineRule="auto"/>
              <w:jc w:val="center"/>
              <w:rPr>
                <w:rFonts w:eastAsia="宋体"/>
                <w:bCs/>
                <w:sz w:val="24"/>
                <w:szCs w:val="24"/>
              </w:rPr>
            </w:pPr>
            <w:r>
              <w:rPr>
                <w:rFonts w:eastAsia="宋体"/>
                <w:bCs/>
                <w:sz w:val="24"/>
                <w:szCs w:val="24"/>
              </w:rPr>
              <w:t>180090.7</w:t>
            </w:r>
          </w:p>
        </w:tc>
        <w:tc>
          <w:tcPr>
            <w:tcW w:w="616" w:type="pct"/>
            <w:vAlign w:val="center"/>
          </w:tcPr>
          <w:p w:rsidR="00B373FD">
            <w:pPr>
              <w:snapToGrid w:val="0"/>
              <w:spacing w:line="240" w:lineRule="auto"/>
              <w:jc w:val="center"/>
              <w:rPr>
                <w:rFonts w:eastAsia="宋体"/>
                <w:bCs/>
                <w:sz w:val="24"/>
                <w:szCs w:val="24"/>
              </w:rPr>
            </w:pPr>
            <w:r>
              <w:rPr>
                <w:rFonts w:eastAsia="宋体"/>
                <w:bCs/>
                <w:sz w:val="24"/>
                <w:szCs w:val="24"/>
              </w:rPr>
              <w:t>181100</w:t>
            </w:r>
            <w:r>
              <w:rPr>
                <w:rFonts w:eastAsia="宋体"/>
                <w:bCs/>
                <w:sz w:val="24"/>
                <w:szCs w:val="24"/>
                <w:vertAlign w:val="superscript"/>
              </w:rPr>
              <w:t>②</w:t>
            </w:r>
          </w:p>
        </w:tc>
        <w:tc>
          <w:tcPr>
            <w:tcW w:w="494" w:type="pct"/>
            <w:vAlign w:val="center"/>
          </w:tcPr>
          <w:p w:rsidR="00B373FD">
            <w:pPr>
              <w:snapToGrid w:val="0"/>
              <w:spacing w:line="240" w:lineRule="auto"/>
              <w:jc w:val="center"/>
              <w:rPr>
                <w:rFonts w:eastAsia="宋体"/>
                <w:bCs/>
                <w:sz w:val="24"/>
                <w:szCs w:val="24"/>
              </w:rPr>
            </w:pPr>
            <w:r>
              <w:rPr>
                <w:rFonts w:eastAsia="宋体" w:hint="eastAsia"/>
                <w:bCs/>
                <w:sz w:val="24"/>
                <w:szCs w:val="24"/>
              </w:rPr>
              <w:t>已完成</w:t>
            </w:r>
          </w:p>
        </w:tc>
      </w:tr>
      <w:tr>
        <w:tblPrEx>
          <w:tblW w:w="5036" w:type="pct"/>
          <w:jc w:val="center"/>
          <w:tblLayout w:type="fixed"/>
          <w:tblCellMar>
            <w:left w:w="0" w:type="dxa"/>
            <w:right w:w="0" w:type="dxa"/>
          </w:tblCellMar>
          <w:tblLook w:val="04A0"/>
        </w:tblPrEx>
        <w:trPr>
          <w:cantSplit/>
          <w:trHeight w:hRule="exact" w:val="510"/>
          <w:jc w:val="center"/>
        </w:trPr>
        <w:tc>
          <w:tcPr>
            <w:tcW w:w="333" w:type="pct"/>
            <w:vMerge/>
            <w:textDirection w:val="tbRlV"/>
            <w:vAlign w:val="center"/>
          </w:tcPr>
          <w:p w:rsidR="00B373FD">
            <w:pPr>
              <w:adjustRightInd w:val="0"/>
              <w:snapToGrid w:val="0"/>
              <w:spacing w:line="240" w:lineRule="auto"/>
              <w:jc w:val="center"/>
              <w:rPr>
                <w:rFonts w:eastAsia="宋体"/>
                <w:bCs/>
                <w:sz w:val="24"/>
                <w:szCs w:val="24"/>
              </w:rPr>
            </w:pPr>
          </w:p>
        </w:tc>
        <w:tc>
          <w:tcPr>
            <w:tcW w:w="1088" w:type="pct"/>
            <w:vMerge/>
            <w:vAlign w:val="center"/>
          </w:tcPr>
          <w:p w:rsidR="00B373FD">
            <w:pPr>
              <w:adjustRightInd w:val="0"/>
              <w:snapToGrid w:val="0"/>
              <w:spacing w:line="240" w:lineRule="auto"/>
              <w:ind w:left="25"/>
              <w:rPr>
                <w:rFonts w:eastAsia="宋体"/>
                <w:bCs/>
                <w:sz w:val="24"/>
                <w:szCs w:val="24"/>
              </w:rPr>
            </w:pPr>
          </w:p>
        </w:tc>
        <w:tc>
          <w:tcPr>
            <w:tcW w:w="1430" w:type="pct"/>
            <w:gridSpan w:val="2"/>
            <w:vAlign w:val="center"/>
          </w:tcPr>
          <w:p w:rsidR="00B373FD">
            <w:pPr>
              <w:adjustRightInd w:val="0"/>
              <w:snapToGrid w:val="0"/>
              <w:spacing w:line="240" w:lineRule="auto"/>
              <w:rPr>
                <w:rFonts w:eastAsia="宋体"/>
                <w:bCs/>
                <w:sz w:val="24"/>
                <w:szCs w:val="24"/>
              </w:rPr>
            </w:pPr>
            <w:r>
              <w:rPr>
                <w:rFonts w:eastAsia="宋体"/>
                <w:bCs/>
                <w:sz w:val="24"/>
                <w:szCs w:val="24"/>
              </w:rPr>
              <w:t>高效园艺</w:t>
            </w:r>
          </w:p>
        </w:tc>
        <w:tc>
          <w:tcPr>
            <w:tcW w:w="400" w:type="pct"/>
            <w:vAlign w:val="center"/>
          </w:tcPr>
          <w:p w:rsidR="00B373FD">
            <w:pPr>
              <w:adjustRightInd w:val="0"/>
              <w:snapToGrid w:val="0"/>
              <w:spacing w:line="240" w:lineRule="auto"/>
              <w:jc w:val="center"/>
              <w:rPr>
                <w:rFonts w:eastAsia="宋体"/>
                <w:bCs/>
                <w:sz w:val="24"/>
                <w:szCs w:val="24"/>
              </w:rPr>
            </w:pPr>
            <w:r>
              <w:rPr>
                <w:rFonts w:eastAsia="宋体"/>
                <w:bCs/>
                <w:sz w:val="24"/>
                <w:szCs w:val="24"/>
              </w:rPr>
              <w:t>亩</w:t>
            </w:r>
          </w:p>
        </w:tc>
        <w:tc>
          <w:tcPr>
            <w:tcW w:w="636" w:type="pct"/>
            <w:vAlign w:val="center"/>
          </w:tcPr>
          <w:p w:rsidR="00B373FD">
            <w:pPr>
              <w:snapToGrid w:val="0"/>
              <w:spacing w:line="240" w:lineRule="auto"/>
              <w:jc w:val="center"/>
              <w:rPr>
                <w:rFonts w:eastAsia="宋体"/>
                <w:bCs/>
                <w:sz w:val="24"/>
                <w:szCs w:val="24"/>
              </w:rPr>
            </w:pPr>
            <w:r>
              <w:rPr>
                <w:rFonts w:eastAsia="宋体"/>
                <w:bCs/>
                <w:sz w:val="24"/>
                <w:szCs w:val="24"/>
              </w:rPr>
              <w:t>60092.1</w:t>
            </w:r>
          </w:p>
        </w:tc>
        <w:tc>
          <w:tcPr>
            <w:tcW w:w="616" w:type="pct"/>
            <w:vAlign w:val="center"/>
          </w:tcPr>
          <w:p w:rsidR="00B373FD">
            <w:pPr>
              <w:snapToGrid w:val="0"/>
              <w:spacing w:line="240" w:lineRule="auto"/>
              <w:jc w:val="center"/>
              <w:rPr>
                <w:rFonts w:eastAsia="宋体"/>
                <w:bCs/>
                <w:sz w:val="24"/>
                <w:szCs w:val="24"/>
              </w:rPr>
            </w:pPr>
            <w:r>
              <w:rPr>
                <w:rFonts w:eastAsia="宋体"/>
                <w:bCs/>
                <w:sz w:val="24"/>
                <w:szCs w:val="24"/>
              </w:rPr>
              <w:t>60400</w:t>
            </w:r>
            <w:r>
              <w:rPr>
                <w:rFonts w:eastAsia="宋体"/>
                <w:bCs/>
                <w:sz w:val="24"/>
                <w:szCs w:val="24"/>
                <w:vertAlign w:val="superscript"/>
              </w:rPr>
              <w:t>②</w:t>
            </w:r>
          </w:p>
        </w:tc>
        <w:tc>
          <w:tcPr>
            <w:tcW w:w="494" w:type="pct"/>
            <w:vAlign w:val="center"/>
          </w:tcPr>
          <w:p w:rsidR="00B373FD">
            <w:pPr>
              <w:snapToGrid w:val="0"/>
              <w:spacing w:line="240" w:lineRule="auto"/>
              <w:jc w:val="center"/>
              <w:rPr>
                <w:rFonts w:eastAsia="宋体"/>
                <w:bCs/>
                <w:sz w:val="24"/>
                <w:szCs w:val="24"/>
              </w:rPr>
            </w:pPr>
            <w:r>
              <w:rPr>
                <w:rFonts w:eastAsia="宋体" w:hint="eastAsia"/>
                <w:bCs/>
                <w:sz w:val="24"/>
                <w:szCs w:val="24"/>
              </w:rPr>
              <w:t>已完成</w:t>
            </w:r>
          </w:p>
        </w:tc>
      </w:tr>
      <w:tr>
        <w:tblPrEx>
          <w:tblW w:w="5036" w:type="pct"/>
          <w:jc w:val="center"/>
          <w:tblLayout w:type="fixed"/>
          <w:tblCellMar>
            <w:left w:w="0" w:type="dxa"/>
            <w:right w:w="0" w:type="dxa"/>
          </w:tblCellMar>
          <w:tblLook w:val="04A0"/>
        </w:tblPrEx>
        <w:trPr>
          <w:cantSplit/>
          <w:trHeight w:hRule="exact" w:val="510"/>
          <w:jc w:val="center"/>
        </w:trPr>
        <w:tc>
          <w:tcPr>
            <w:tcW w:w="333" w:type="pct"/>
            <w:vMerge/>
            <w:textDirection w:val="tbRlV"/>
            <w:vAlign w:val="center"/>
          </w:tcPr>
          <w:p w:rsidR="00B373FD">
            <w:pPr>
              <w:adjustRightInd w:val="0"/>
              <w:snapToGrid w:val="0"/>
              <w:spacing w:line="240" w:lineRule="auto"/>
              <w:jc w:val="center"/>
              <w:rPr>
                <w:rFonts w:eastAsia="宋体"/>
                <w:bCs/>
                <w:sz w:val="24"/>
                <w:szCs w:val="24"/>
              </w:rPr>
            </w:pPr>
          </w:p>
        </w:tc>
        <w:tc>
          <w:tcPr>
            <w:tcW w:w="1088" w:type="pct"/>
            <w:vMerge/>
            <w:vAlign w:val="center"/>
          </w:tcPr>
          <w:p w:rsidR="00B373FD">
            <w:pPr>
              <w:adjustRightInd w:val="0"/>
              <w:snapToGrid w:val="0"/>
              <w:spacing w:line="240" w:lineRule="auto"/>
              <w:rPr>
                <w:rFonts w:eastAsia="宋体"/>
                <w:bCs/>
                <w:sz w:val="24"/>
                <w:szCs w:val="24"/>
              </w:rPr>
            </w:pPr>
          </w:p>
        </w:tc>
        <w:tc>
          <w:tcPr>
            <w:tcW w:w="1430" w:type="pct"/>
            <w:gridSpan w:val="2"/>
            <w:vAlign w:val="center"/>
          </w:tcPr>
          <w:p w:rsidR="00B373FD">
            <w:pPr>
              <w:adjustRightInd w:val="0"/>
              <w:snapToGrid w:val="0"/>
              <w:spacing w:line="240" w:lineRule="auto"/>
              <w:rPr>
                <w:rFonts w:eastAsia="宋体"/>
                <w:bCs/>
                <w:sz w:val="24"/>
                <w:szCs w:val="24"/>
              </w:rPr>
            </w:pPr>
            <w:r>
              <w:rPr>
                <w:rFonts w:eastAsia="宋体"/>
                <w:bCs/>
                <w:sz w:val="24"/>
                <w:szCs w:val="24"/>
              </w:rPr>
              <w:t>特色水产</w:t>
            </w:r>
          </w:p>
        </w:tc>
        <w:tc>
          <w:tcPr>
            <w:tcW w:w="400" w:type="pct"/>
            <w:vAlign w:val="center"/>
          </w:tcPr>
          <w:p w:rsidR="00B373FD">
            <w:pPr>
              <w:adjustRightInd w:val="0"/>
              <w:snapToGrid w:val="0"/>
              <w:spacing w:line="240" w:lineRule="auto"/>
              <w:jc w:val="center"/>
              <w:rPr>
                <w:rFonts w:eastAsia="宋体"/>
                <w:bCs/>
                <w:sz w:val="24"/>
                <w:szCs w:val="24"/>
              </w:rPr>
            </w:pPr>
            <w:r>
              <w:rPr>
                <w:rFonts w:eastAsia="宋体"/>
                <w:bCs/>
                <w:sz w:val="24"/>
                <w:szCs w:val="24"/>
              </w:rPr>
              <w:t>亩</w:t>
            </w:r>
          </w:p>
        </w:tc>
        <w:tc>
          <w:tcPr>
            <w:tcW w:w="636" w:type="pct"/>
            <w:vAlign w:val="center"/>
          </w:tcPr>
          <w:p w:rsidR="00B373FD">
            <w:pPr>
              <w:snapToGrid w:val="0"/>
              <w:spacing w:line="240" w:lineRule="auto"/>
              <w:jc w:val="center"/>
              <w:rPr>
                <w:rFonts w:eastAsia="宋体"/>
                <w:bCs/>
                <w:sz w:val="24"/>
                <w:szCs w:val="24"/>
              </w:rPr>
            </w:pPr>
            <w:r>
              <w:rPr>
                <w:rFonts w:eastAsia="宋体"/>
                <w:bCs/>
                <w:sz w:val="24"/>
                <w:szCs w:val="24"/>
              </w:rPr>
              <w:t>156131.4</w:t>
            </w:r>
          </w:p>
        </w:tc>
        <w:tc>
          <w:tcPr>
            <w:tcW w:w="616" w:type="pct"/>
            <w:vAlign w:val="center"/>
          </w:tcPr>
          <w:p w:rsidR="00B373FD">
            <w:pPr>
              <w:snapToGrid w:val="0"/>
              <w:spacing w:line="240" w:lineRule="auto"/>
              <w:jc w:val="center"/>
              <w:rPr>
                <w:rFonts w:eastAsia="宋体"/>
                <w:bCs/>
                <w:sz w:val="24"/>
                <w:szCs w:val="24"/>
              </w:rPr>
            </w:pPr>
            <w:r>
              <w:rPr>
                <w:rFonts w:eastAsia="宋体"/>
                <w:bCs/>
                <w:sz w:val="24"/>
                <w:szCs w:val="24"/>
              </w:rPr>
              <w:t>157600</w:t>
            </w:r>
            <w:r>
              <w:rPr>
                <w:rFonts w:eastAsia="宋体"/>
                <w:bCs/>
                <w:sz w:val="24"/>
                <w:szCs w:val="24"/>
                <w:vertAlign w:val="superscript"/>
              </w:rPr>
              <w:t>②</w:t>
            </w:r>
          </w:p>
        </w:tc>
        <w:tc>
          <w:tcPr>
            <w:tcW w:w="494" w:type="pct"/>
            <w:vAlign w:val="center"/>
          </w:tcPr>
          <w:p w:rsidR="00B373FD">
            <w:pPr>
              <w:snapToGrid w:val="0"/>
              <w:spacing w:line="240" w:lineRule="auto"/>
              <w:jc w:val="center"/>
              <w:rPr>
                <w:rFonts w:eastAsia="宋体"/>
                <w:bCs/>
                <w:sz w:val="24"/>
                <w:szCs w:val="24"/>
              </w:rPr>
            </w:pPr>
            <w:r>
              <w:rPr>
                <w:rFonts w:eastAsia="宋体" w:hint="eastAsia"/>
                <w:bCs/>
                <w:sz w:val="24"/>
                <w:szCs w:val="24"/>
              </w:rPr>
              <w:t>已完成</w:t>
            </w:r>
          </w:p>
        </w:tc>
      </w:tr>
      <w:tr>
        <w:tblPrEx>
          <w:tblW w:w="5036" w:type="pct"/>
          <w:jc w:val="center"/>
          <w:tblLayout w:type="fixed"/>
          <w:tblCellMar>
            <w:left w:w="0" w:type="dxa"/>
            <w:right w:w="0" w:type="dxa"/>
          </w:tblCellMar>
          <w:tblLook w:val="04A0"/>
        </w:tblPrEx>
        <w:trPr>
          <w:cantSplit/>
          <w:trHeight w:hRule="exact" w:val="510"/>
          <w:jc w:val="center"/>
        </w:trPr>
        <w:tc>
          <w:tcPr>
            <w:tcW w:w="333" w:type="pct"/>
            <w:vMerge/>
            <w:textDirection w:val="tbRlV"/>
            <w:vAlign w:val="center"/>
          </w:tcPr>
          <w:p w:rsidR="00B373FD">
            <w:pPr>
              <w:adjustRightInd w:val="0"/>
              <w:snapToGrid w:val="0"/>
              <w:spacing w:line="240" w:lineRule="auto"/>
              <w:jc w:val="center"/>
              <w:rPr>
                <w:rFonts w:eastAsia="宋体"/>
                <w:bCs/>
                <w:sz w:val="24"/>
                <w:szCs w:val="24"/>
              </w:rPr>
            </w:pPr>
          </w:p>
        </w:tc>
        <w:tc>
          <w:tcPr>
            <w:tcW w:w="1088" w:type="pct"/>
            <w:vMerge/>
            <w:vAlign w:val="center"/>
          </w:tcPr>
          <w:p w:rsidR="00B373FD">
            <w:pPr>
              <w:adjustRightInd w:val="0"/>
              <w:snapToGrid w:val="0"/>
              <w:spacing w:line="240" w:lineRule="auto"/>
              <w:rPr>
                <w:rFonts w:eastAsia="宋体"/>
                <w:bCs/>
                <w:sz w:val="24"/>
                <w:szCs w:val="24"/>
              </w:rPr>
            </w:pPr>
          </w:p>
        </w:tc>
        <w:tc>
          <w:tcPr>
            <w:tcW w:w="1430" w:type="pct"/>
            <w:gridSpan w:val="2"/>
            <w:vAlign w:val="center"/>
          </w:tcPr>
          <w:p w:rsidR="00B373FD">
            <w:pPr>
              <w:adjustRightInd w:val="0"/>
              <w:snapToGrid w:val="0"/>
              <w:spacing w:line="240" w:lineRule="auto"/>
              <w:rPr>
                <w:rFonts w:eastAsia="宋体"/>
                <w:bCs/>
                <w:sz w:val="24"/>
                <w:szCs w:val="24"/>
              </w:rPr>
            </w:pPr>
            <w:r>
              <w:rPr>
                <w:rFonts w:eastAsia="宋体"/>
                <w:bCs/>
                <w:sz w:val="24"/>
                <w:szCs w:val="24"/>
              </w:rPr>
              <w:t>生态林地</w:t>
            </w:r>
          </w:p>
        </w:tc>
        <w:tc>
          <w:tcPr>
            <w:tcW w:w="400" w:type="pct"/>
            <w:vAlign w:val="center"/>
          </w:tcPr>
          <w:p w:rsidR="00B373FD">
            <w:pPr>
              <w:adjustRightInd w:val="0"/>
              <w:snapToGrid w:val="0"/>
              <w:spacing w:line="240" w:lineRule="auto"/>
              <w:jc w:val="center"/>
              <w:rPr>
                <w:rFonts w:eastAsia="宋体"/>
                <w:bCs/>
                <w:sz w:val="24"/>
                <w:szCs w:val="24"/>
              </w:rPr>
            </w:pPr>
            <w:r>
              <w:rPr>
                <w:rFonts w:eastAsia="宋体"/>
                <w:bCs/>
                <w:sz w:val="24"/>
                <w:szCs w:val="24"/>
              </w:rPr>
              <w:t>亩</w:t>
            </w:r>
          </w:p>
        </w:tc>
        <w:tc>
          <w:tcPr>
            <w:tcW w:w="636" w:type="pct"/>
            <w:vAlign w:val="center"/>
          </w:tcPr>
          <w:p w:rsidR="00B373FD">
            <w:pPr>
              <w:snapToGrid w:val="0"/>
              <w:spacing w:line="240" w:lineRule="auto"/>
              <w:jc w:val="center"/>
              <w:rPr>
                <w:rFonts w:eastAsia="宋体"/>
                <w:bCs/>
                <w:sz w:val="24"/>
                <w:szCs w:val="24"/>
              </w:rPr>
            </w:pPr>
            <w:r>
              <w:rPr>
                <w:rFonts w:eastAsia="宋体"/>
                <w:bCs/>
                <w:sz w:val="24"/>
                <w:szCs w:val="24"/>
              </w:rPr>
              <w:t>90119.6</w:t>
            </w:r>
          </w:p>
        </w:tc>
        <w:tc>
          <w:tcPr>
            <w:tcW w:w="616" w:type="pct"/>
            <w:vAlign w:val="center"/>
          </w:tcPr>
          <w:p w:rsidR="00B373FD">
            <w:pPr>
              <w:snapToGrid w:val="0"/>
              <w:spacing w:line="240" w:lineRule="auto"/>
              <w:jc w:val="center"/>
              <w:rPr>
                <w:rFonts w:eastAsia="宋体"/>
                <w:bCs/>
                <w:sz w:val="24"/>
                <w:szCs w:val="24"/>
              </w:rPr>
            </w:pPr>
            <w:r>
              <w:rPr>
                <w:rFonts w:eastAsia="宋体"/>
                <w:bCs/>
                <w:sz w:val="24"/>
                <w:szCs w:val="24"/>
              </w:rPr>
              <w:t>92900</w:t>
            </w:r>
            <w:r>
              <w:rPr>
                <w:rFonts w:eastAsia="宋体"/>
                <w:bCs/>
                <w:sz w:val="24"/>
                <w:szCs w:val="24"/>
                <w:vertAlign w:val="superscript"/>
              </w:rPr>
              <w:t>②</w:t>
            </w:r>
          </w:p>
        </w:tc>
        <w:tc>
          <w:tcPr>
            <w:tcW w:w="494" w:type="pct"/>
            <w:vAlign w:val="center"/>
          </w:tcPr>
          <w:p w:rsidR="00B373FD">
            <w:pPr>
              <w:snapToGrid w:val="0"/>
              <w:spacing w:line="240" w:lineRule="auto"/>
              <w:jc w:val="center"/>
              <w:rPr>
                <w:rFonts w:eastAsia="宋体"/>
                <w:bCs/>
                <w:sz w:val="24"/>
                <w:szCs w:val="24"/>
              </w:rPr>
            </w:pPr>
            <w:r>
              <w:rPr>
                <w:rFonts w:eastAsia="宋体" w:hint="eastAsia"/>
                <w:bCs/>
                <w:sz w:val="24"/>
                <w:szCs w:val="24"/>
              </w:rPr>
              <w:t>已完成</w:t>
            </w:r>
          </w:p>
        </w:tc>
      </w:tr>
      <w:tr>
        <w:tblPrEx>
          <w:tblW w:w="5036" w:type="pct"/>
          <w:jc w:val="center"/>
          <w:tblLayout w:type="fixed"/>
          <w:tblCellMar>
            <w:left w:w="0" w:type="dxa"/>
            <w:right w:w="0" w:type="dxa"/>
          </w:tblCellMar>
          <w:tblLook w:val="04A0"/>
        </w:tblPrEx>
        <w:trPr>
          <w:cantSplit/>
          <w:trHeight w:hRule="exact" w:val="510"/>
          <w:jc w:val="center"/>
        </w:trPr>
        <w:tc>
          <w:tcPr>
            <w:tcW w:w="333" w:type="pct"/>
            <w:vMerge/>
            <w:textDirection w:val="tbRlV"/>
            <w:vAlign w:val="center"/>
          </w:tcPr>
          <w:p w:rsidR="00B373FD">
            <w:pPr>
              <w:adjustRightInd w:val="0"/>
              <w:snapToGrid w:val="0"/>
              <w:spacing w:line="240" w:lineRule="auto"/>
              <w:jc w:val="center"/>
              <w:rPr>
                <w:rFonts w:eastAsia="宋体"/>
                <w:bCs/>
                <w:sz w:val="24"/>
                <w:szCs w:val="24"/>
              </w:rPr>
            </w:pPr>
          </w:p>
        </w:tc>
        <w:tc>
          <w:tcPr>
            <w:tcW w:w="2518" w:type="pct"/>
            <w:gridSpan w:val="3"/>
            <w:vAlign w:val="center"/>
          </w:tcPr>
          <w:p w:rsidR="00B373FD">
            <w:pPr>
              <w:adjustRightInd w:val="0"/>
              <w:snapToGrid w:val="0"/>
              <w:spacing w:line="240" w:lineRule="auto"/>
              <w:rPr>
                <w:rFonts w:eastAsia="宋体"/>
                <w:bCs/>
                <w:sz w:val="24"/>
                <w:szCs w:val="24"/>
              </w:rPr>
            </w:pPr>
            <w:r>
              <w:rPr>
                <w:rFonts w:eastAsia="宋体"/>
                <w:bCs/>
                <w:sz w:val="24"/>
                <w:szCs w:val="24"/>
              </w:rPr>
              <w:t>18.</w:t>
            </w:r>
            <w:r>
              <w:rPr>
                <w:rFonts w:eastAsia="宋体"/>
                <w:bCs/>
                <w:sz w:val="24"/>
                <w:szCs w:val="24"/>
              </w:rPr>
              <w:t>生态红线区域占国土面积比重</w:t>
            </w:r>
          </w:p>
        </w:tc>
        <w:tc>
          <w:tcPr>
            <w:tcW w:w="400" w:type="pct"/>
            <w:vAlign w:val="center"/>
          </w:tcPr>
          <w:p w:rsidR="00B373FD">
            <w:pPr>
              <w:adjustRightInd w:val="0"/>
              <w:snapToGrid w:val="0"/>
              <w:spacing w:line="240" w:lineRule="auto"/>
              <w:jc w:val="center"/>
              <w:rPr>
                <w:rFonts w:eastAsia="宋体"/>
                <w:bCs/>
                <w:sz w:val="24"/>
                <w:szCs w:val="24"/>
              </w:rPr>
            </w:pPr>
            <w:r>
              <w:rPr>
                <w:rFonts w:eastAsia="宋体"/>
                <w:bCs/>
                <w:sz w:val="24"/>
                <w:szCs w:val="24"/>
              </w:rPr>
              <w:t>%</w:t>
            </w:r>
          </w:p>
        </w:tc>
        <w:tc>
          <w:tcPr>
            <w:tcW w:w="636" w:type="pct"/>
            <w:vAlign w:val="center"/>
          </w:tcPr>
          <w:p w:rsidR="00B373FD">
            <w:pPr>
              <w:adjustRightInd w:val="0"/>
              <w:snapToGrid w:val="0"/>
              <w:spacing w:line="240" w:lineRule="auto"/>
              <w:jc w:val="center"/>
              <w:rPr>
                <w:rFonts w:eastAsia="宋体"/>
                <w:bCs/>
                <w:sz w:val="24"/>
                <w:szCs w:val="24"/>
              </w:rPr>
            </w:pPr>
            <w:r>
              <w:rPr>
                <w:rFonts w:eastAsia="宋体"/>
                <w:bCs/>
                <w:sz w:val="24"/>
                <w:szCs w:val="24"/>
              </w:rPr>
              <w:t>≥9.1</w:t>
            </w:r>
          </w:p>
        </w:tc>
        <w:tc>
          <w:tcPr>
            <w:tcW w:w="616" w:type="pct"/>
            <w:vAlign w:val="center"/>
          </w:tcPr>
          <w:p w:rsidR="00B373FD">
            <w:pPr>
              <w:adjustRightInd w:val="0"/>
              <w:snapToGrid w:val="0"/>
              <w:spacing w:line="240" w:lineRule="auto"/>
              <w:jc w:val="center"/>
              <w:rPr>
                <w:rFonts w:eastAsia="宋体"/>
                <w:bCs/>
                <w:sz w:val="24"/>
                <w:szCs w:val="24"/>
              </w:rPr>
            </w:pPr>
            <w:r>
              <w:rPr>
                <w:rFonts w:eastAsia="宋体"/>
                <w:bCs/>
                <w:sz w:val="24"/>
                <w:szCs w:val="24"/>
              </w:rPr>
              <w:t>18.1</w:t>
            </w:r>
            <w:r>
              <w:rPr>
                <w:rFonts w:eastAsia="宋体"/>
                <w:bCs/>
                <w:sz w:val="24"/>
                <w:szCs w:val="24"/>
                <w:vertAlign w:val="superscript"/>
              </w:rPr>
              <w:t>③</w:t>
            </w:r>
          </w:p>
        </w:tc>
        <w:tc>
          <w:tcPr>
            <w:tcW w:w="494" w:type="pct"/>
            <w:vAlign w:val="center"/>
          </w:tcPr>
          <w:p w:rsidR="00B373FD">
            <w:pPr>
              <w:adjustRightInd w:val="0"/>
              <w:snapToGrid w:val="0"/>
              <w:spacing w:line="240" w:lineRule="auto"/>
              <w:jc w:val="center"/>
              <w:rPr>
                <w:rFonts w:eastAsia="宋体"/>
                <w:bCs/>
                <w:sz w:val="24"/>
                <w:szCs w:val="24"/>
              </w:rPr>
            </w:pPr>
            <w:r>
              <w:rPr>
                <w:rFonts w:eastAsia="宋体" w:hint="eastAsia"/>
                <w:bCs/>
                <w:sz w:val="24"/>
                <w:szCs w:val="24"/>
              </w:rPr>
              <w:t>已完成</w:t>
            </w:r>
          </w:p>
        </w:tc>
      </w:tr>
      <w:tr>
        <w:tblPrEx>
          <w:tblW w:w="5036" w:type="pct"/>
          <w:jc w:val="center"/>
          <w:tblLayout w:type="fixed"/>
          <w:tblCellMar>
            <w:left w:w="0" w:type="dxa"/>
            <w:right w:w="0" w:type="dxa"/>
          </w:tblCellMar>
          <w:tblLook w:val="04A0"/>
        </w:tblPrEx>
        <w:trPr>
          <w:cantSplit/>
          <w:trHeight w:hRule="exact" w:val="510"/>
          <w:jc w:val="center"/>
        </w:trPr>
        <w:tc>
          <w:tcPr>
            <w:tcW w:w="333" w:type="pct"/>
            <w:vMerge/>
            <w:textDirection w:val="tbRlV"/>
            <w:vAlign w:val="center"/>
          </w:tcPr>
          <w:p w:rsidR="00B373FD">
            <w:pPr>
              <w:adjustRightInd w:val="0"/>
              <w:snapToGrid w:val="0"/>
              <w:spacing w:line="240" w:lineRule="auto"/>
              <w:jc w:val="center"/>
              <w:rPr>
                <w:rFonts w:eastAsia="宋体"/>
                <w:bCs/>
                <w:sz w:val="24"/>
                <w:szCs w:val="24"/>
              </w:rPr>
            </w:pPr>
          </w:p>
        </w:tc>
        <w:tc>
          <w:tcPr>
            <w:tcW w:w="2518" w:type="pct"/>
            <w:gridSpan w:val="3"/>
            <w:vAlign w:val="center"/>
          </w:tcPr>
          <w:p w:rsidR="00B373FD">
            <w:pPr>
              <w:adjustRightInd w:val="0"/>
              <w:snapToGrid w:val="0"/>
              <w:spacing w:line="240" w:lineRule="auto"/>
              <w:rPr>
                <w:rFonts w:eastAsia="宋体"/>
                <w:bCs/>
                <w:sz w:val="24"/>
                <w:szCs w:val="24"/>
              </w:rPr>
            </w:pPr>
            <w:r>
              <w:rPr>
                <w:rFonts w:eastAsia="宋体"/>
                <w:bCs/>
                <w:sz w:val="24"/>
                <w:szCs w:val="24"/>
              </w:rPr>
              <w:t>19.</w:t>
            </w:r>
            <w:r>
              <w:rPr>
                <w:rFonts w:eastAsia="宋体"/>
                <w:bCs/>
                <w:sz w:val="24"/>
                <w:szCs w:val="24"/>
              </w:rPr>
              <w:t>林木覆盖率</w:t>
            </w:r>
          </w:p>
        </w:tc>
        <w:tc>
          <w:tcPr>
            <w:tcW w:w="400" w:type="pct"/>
            <w:vAlign w:val="center"/>
          </w:tcPr>
          <w:p w:rsidR="00B373FD">
            <w:pPr>
              <w:adjustRightInd w:val="0"/>
              <w:snapToGrid w:val="0"/>
              <w:spacing w:line="240" w:lineRule="auto"/>
              <w:jc w:val="center"/>
              <w:rPr>
                <w:rFonts w:eastAsia="宋体"/>
                <w:bCs/>
                <w:sz w:val="24"/>
                <w:szCs w:val="24"/>
              </w:rPr>
            </w:pPr>
            <w:r>
              <w:rPr>
                <w:rFonts w:eastAsia="宋体"/>
                <w:bCs/>
                <w:sz w:val="24"/>
                <w:szCs w:val="24"/>
              </w:rPr>
              <w:t>%</w:t>
            </w:r>
          </w:p>
        </w:tc>
        <w:tc>
          <w:tcPr>
            <w:tcW w:w="636" w:type="pct"/>
            <w:vAlign w:val="center"/>
          </w:tcPr>
          <w:p w:rsidR="00B373FD">
            <w:pPr>
              <w:adjustRightInd w:val="0"/>
              <w:snapToGrid w:val="0"/>
              <w:spacing w:line="240" w:lineRule="auto"/>
              <w:jc w:val="center"/>
              <w:rPr>
                <w:rFonts w:eastAsia="宋体"/>
                <w:bCs/>
                <w:sz w:val="24"/>
                <w:szCs w:val="24"/>
              </w:rPr>
            </w:pPr>
            <w:r>
              <w:rPr>
                <w:rFonts w:eastAsia="宋体"/>
                <w:bCs/>
                <w:sz w:val="24"/>
                <w:szCs w:val="24"/>
              </w:rPr>
              <w:t>≥17.58</w:t>
            </w:r>
          </w:p>
        </w:tc>
        <w:tc>
          <w:tcPr>
            <w:tcW w:w="616" w:type="pct"/>
            <w:vAlign w:val="center"/>
          </w:tcPr>
          <w:p w:rsidR="00B373FD">
            <w:pPr>
              <w:adjustRightInd w:val="0"/>
              <w:snapToGrid w:val="0"/>
              <w:spacing w:line="240" w:lineRule="auto"/>
              <w:jc w:val="center"/>
              <w:rPr>
                <w:rFonts w:eastAsia="宋体"/>
                <w:bCs/>
                <w:sz w:val="24"/>
                <w:szCs w:val="24"/>
              </w:rPr>
            </w:pPr>
            <w:r>
              <w:rPr>
                <w:rFonts w:eastAsia="宋体"/>
                <w:bCs/>
                <w:sz w:val="24"/>
                <w:szCs w:val="24"/>
              </w:rPr>
              <w:t>18.60</w:t>
            </w:r>
          </w:p>
        </w:tc>
        <w:tc>
          <w:tcPr>
            <w:tcW w:w="494" w:type="pct"/>
            <w:vAlign w:val="center"/>
          </w:tcPr>
          <w:p w:rsidR="00B373FD">
            <w:pPr>
              <w:adjustRightInd w:val="0"/>
              <w:snapToGrid w:val="0"/>
              <w:spacing w:line="240" w:lineRule="auto"/>
              <w:jc w:val="center"/>
              <w:rPr>
                <w:rFonts w:eastAsia="宋体"/>
                <w:bCs/>
                <w:sz w:val="24"/>
                <w:szCs w:val="24"/>
              </w:rPr>
            </w:pPr>
            <w:r>
              <w:rPr>
                <w:rFonts w:eastAsia="宋体" w:hint="eastAsia"/>
                <w:bCs/>
                <w:sz w:val="24"/>
                <w:szCs w:val="24"/>
              </w:rPr>
              <w:t>已完成</w:t>
            </w:r>
          </w:p>
        </w:tc>
      </w:tr>
      <w:tr>
        <w:tblPrEx>
          <w:tblW w:w="5036" w:type="pct"/>
          <w:jc w:val="center"/>
          <w:tblLayout w:type="fixed"/>
          <w:tblCellMar>
            <w:left w:w="0" w:type="dxa"/>
            <w:right w:w="0" w:type="dxa"/>
          </w:tblCellMar>
          <w:tblLook w:val="04A0"/>
        </w:tblPrEx>
        <w:trPr>
          <w:cantSplit/>
          <w:trHeight w:hRule="exact" w:val="510"/>
          <w:jc w:val="center"/>
        </w:trPr>
        <w:tc>
          <w:tcPr>
            <w:tcW w:w="333" w:type="pct"/>
            <w:vMerge/>
            <w:textDirection w:val="tbRlV"/>
            <w:vAlign w:val="center"/>
          </w:tcPr>
          <w:p w:rsidR="00B373FD">
            <w:pPr>
              <w:adjustRightInd w:val="0"/>
              <w:snapToGrid w:val="0"/>
              <w:spacing w:line="240" w:lineRule="auto"/>
              <w:jc w:val="center"/>
              <w:rPr>
                <w:rFonts w:eastAsia="宋体"/>
                <w:bCs/>
                <w:sz w:val="24"/>
                <w:szCs w:val="24"/>
              </w:rPr>
            </w:pPr>
          </w:p>
        </w:tc>
        <w:tc>
          <w:tcPr>
            <w:tcW w:w="2518" w:type="pct"/>
            <w:gridSpan w:val="3"/>
            <w:vAlign w:val="center"/>
          </w:tcPr>
          <w:p w:rsidR="00B373FD">
            <w:pPr>
              <w:adjustRightInd w:val="0"/>
              <w:snapToGrid w:val="0"/>
              <w:spacing w:line="240" w:lineRule="auto"/>
              <w:rPr>
                <w:rFonts w:eastAsia="宋体"/>
                <w:bCs/>
                <w:sz w:val="24"/>
                <w:szCs w:val="24"/>
              </w:rPr>
            </w:pPr>
            <w:r>
              <w:rPr>
                <w:rFonts w:eastAsia="宋体"/>
                <w:bCs/>
                <w:sz w:val="24"/>
                <w:szCs w:val="24"/>
              </w:rPr>
              <w:t>20.</w:t>
            </w:r>
            <w:r>
              <w:rPr>
                <w:rFonts w:eastAsia="宋体"/>
                <w:bCs/>
                <w:sz w:val="24"/>
                <w:szCs w:val="24"/>
              </w:rPr>
              <w:t>生态环境状况指数</w:t>
            </w:r>
          </w:p>
        </w:tc>
        <w:tc>
          <w:tcPr>
            <w:tcW w:w="400" w:type="pct"/>
            <w:vAlign w:val="center"/>
          </w:tcPr>
          <w:p w:rsidR="00B373FD">
            <w:pPr>
              <w:adjustRightInd w:val="0"/>
              <w:snapToGrid w:val="0"/>
              <w:spacing w:line="240" w:lineRule="auto"/>
              <w:jc w:val="center"/>
              <w:rPr>
                <w:rFonts w:eastAsia="宋体"/>
                <w:bCs/>
                <w:sz w:val="24"/>
                <w:szCs w:val="24"/>
              </w:rPr>
            </w:pPr>
            <w:r>
              <w:rPr>
                <w:rFonts w:eastAsia="宋体"/>
                <w:bCs/>
                <w:sz w:val="24"/>
                <w:szCs w:val="24"/>
              </w:rPr>
              <w:t>—</w:t>
            </w:r>
          </w:p>
        </w:tc>
        <w:tc>
          <w:tcPr>
            <w:tcW w:w="636" w:type="pct"/>
            <w:vAlign w:val="center"/>
          </w:tcPr>
          <w:p w:rsidR="00B373FD">
            <w:pPr>
              <w:adjustRightInd w:val="0"/>
              <w:snapToGrid w:val="0"/>
              <w:spacing w:line="240" w:lineRule="auto"/>
              <w:jc w:val="center"/>
              <w:rPr>
                <w:rFonts w:eastAsia="宋体"/>
                <w:bCs/>
                <w:sz w:val="24"/>
                <w:szCs w:val="24"/>
              </w:rPr>
            </w:pPr>
            <w:r>
              <w:rPr>
                <w:rFonts w:eastAsia="宋体"/>
                <w:bCs/>
                <w:sz w:val="24"/>
                <w:szCs w:val="24"/>
              </w:rPr>
              <w:t>良好</w:t>
            </w:r>
          </w:p>
        </w:tc>
        <w:tc>
          <w:tcPr>
            <w:tcW w:w="616" w:type="pct"/>
            <w:vAlign w:val="center"/>
          </w:tcPr>
          <w:p w:rsidR="00B373FD">
            <w:pPr>
              <w:adjustRightInd w:val="0"/>
              <w:snapToGrid w:val="0"/>
              <w:spacing w:line="240" w:lineRule="auto"/>
              <w:jc w:val="center"/>
              <w:rPr>
                <w:rFonts w:eastAsia="宋体"/>
                <w:bCs/>
                <w:sz w:val="24"/>
                <w:szCs w:val="24"/>
              </w:rPr>
            </w:pPr>
            <w:r>
              <w:rPr>
                <w:rFonts w:eastAsia="宋体"/>
                <w:bCs/>
                <w:sz w:val="24"/>
                <w:szCs w:val="24"/>
              </w:rPr>
              <w:t>良好</w:t>
            </w:r>
          </w:p>
        </w:tc>
        <w:tc>
          <w:tcPr>
            <w:tcW w:w="494" w:type="pct"/>
            <w:vAlign w:val="center"/>
          </w:tcPr>
          <w:p w:rsidR="00B373FD">
            <w:pPr>
              <w:adjustRightInd w:val="0"/>
              <w:snapToGrid w:val="0"/>
              <w:spacing w:line="240" w:lineRule="auto"/>
              <w:jc w:val="center"/>
              <w:rPr>
                <w:rFonts w:eastAsia="宋体"/>
                <w:bCs/>
                <w:sz w:val="24"/>
                <w:szCs w:val="24"/>
              </w:rPr>
            </w:pPr>
            <w:r>
              <w:rPr>
                <w:rFonts w:eastAsia="宋体" w:hint="eastAsia"/>
                <w:bCs/>
                <w:sz w:val="24"/>
                <w:szCs w:val="24"/>
              </w:rPr>
              <w:t>已完成</w:t>
            </w:r>
          </w:p>
        </w:tc>
      </w:tr>
      <w:tr>
        <w:tblPrEx>
          <w:tblW w:w="5036" w:type="pct"/>
          <w:jc w:val="center"/>
          <w:tblLayout w:type="fixed"/>
          <w:tblCellMar>
            <w:left w:w="0" w:type="dxa"/>
            <w:right w:w="0" w:type="dxa"/>
          </w:tblCellMar>
          <w:tblLook w:val="04A0"/>
        </w:tblPrEx>
        <w:trPr>
          <w:cantSplit/>
          <w:trHeight w:hRule="exact" w:val="510"/>
          <w:jc w:val="center"/>
        </w:trPr>
        <w:tc>
          <w:tcPr>
            <w:tcW w:w="333" w:type="pct"/>
            <w:vMerge w:val="restart"/>
            <w:textDirection w:val="tbRlV"/>
            <w:vAlign w:val="center"/>
          </w:tcPr>
          <w:p w:rsidR="00B373FD">
            <w:pPr>
              <w:adjustRightInd w:val="0"/>
              <w:snapToGrid w:val="0"/>
              <w:spacing w:line="240" w:lineRule="auto"/>
              <w:ind w:left="113" w:right="113"/>
              <w:jc w:val="center"/>
              <w:rPr>
                <w:rFonts w:eastAsia="宋体"/>
                <w:bCs/>
                <w:sz w:val="24"/>
                <w:szCs w:val="24"/>
              </w:rPr>
            </w:pPr>
            <w:r>
              <w:rPr>
                <w:rFonts w:eastAsia="宋体"/>
                <w:bCs/>
                <w:sz w:val="24"/>
                <w:szCs w:val="24"/>
              </w:rPr>
              <w:t>污染治理</w:t>
            </w:r>
          </w:p>
        </w:tc>
        <w:tc>
          <w:tcPr>
            <w:tcW w:w="1271" w:type="pct"/>
            <w:gridSpan w:val="2"/>
            <w:vMerge w:val="restart"/>
            <w:vAlign w:val="center"/>
          </w:tcPr>
          <w:p w:rsidR="00B373FD">
            <w:pPr>
              <w:adjustRightInd w:val="0"/>
              <w:snapToGrid w:val="0"/>
              <w:spacing w:line="240" w:lineRule="auto"/>
              <w:rPr>
                <w:rFonts w:eastAsia="宋体"/>
                <w:bCs/>
                <w:sz w:val="24"/>
                <w:szCs w:val="24"/>
              </w:rPr>
            </w:pPr>
            <w:r>
              <w:rPr>
                <w:rFonts w:eastAsia="宋体"/>
                <w:bCs/>
                <w:sz w:val="24"/>
                <w:szCs w:val="24"/>
              </w:rPr>
              <w:t>21.</w:t>
            </w:r>
            <w:r>
              <w:rPr>
                <w:rFonts w:eastAsia="宋体"/>
                <w:bCs/>
                <w:sz w:val="24"/>
                <w:szCs w:val="24"/>
              </w:rPr>
              <w:t>生活污水处理率</w:t>
            </w:r>
          </w:p>
        </w:tc>
        <w:tc>
          <w:tcPr>
            <w:tcW w:w="1246" w:type="pct"/>
            <w:vAlign w:val="center"/>
          </w:tcPr>
          <w:p w:rsidR="00B373FD">
            <w:pPr>
              <w:adjustRightInd w:val="0"/>
              <w:snapToGrid w:val="0"/>
              <w:spacing w:line="240" w:lineRule="auto"/>
              <w:rPr>
                <w:rFonts w:eastAsia="宋体"/>
                <w:bCs/>
                <w:sz w:val="24"/>
                <w:szCs w:val="24"/>
              </w:rPr>
            </w:pPr>
            <w:r>
              <w:rPr>
                <w:rFonts w:eastAsia="宋体"/>
                <w:bCs/>
                <w:sz w:val="24"/>
                <w:szCs w:val="24"/>
              </w:rPr>
              <w:t>城区</w:t>
            </w:r>
          </w:p>
        </w:tc>
        <w:tc>
          <w:tcPr>
            <w:tcW w:w="400" w:type="pct"/>
            <w:vAlign w:val="center"/>
          </w:tcPr>
          <w:p w:rsidR="00B373FD">
            <w:pPr>
              <w:adjustRightInd w:val="0"/>
              <w:snapToGrid w:val="0"/>
              <w:spacing w:line="240" w:lineRule="auto"/>
              <w:jc w:val="center"/>
              <w:rPr>
                <w:rFonts w:eastAsia="宋体"/>
                <w:bCs/>
                <w:sz w:val="24"/>
                <w:szCs w:val="24"/>
              </w:rPr>
            </w:pPr>
            <w:r>
              <w:rPr>
                <w:rFonts w:eastAsia="宋体"/>
                <w:bCs/>
                <w:sz w:val="24"/>
                <w:szCs w:val="24"/>
              </w:rPr>
              <w:t>%</w:t>
            </w:r>
          </w:p>
        </w:tc>
        <w:tc>
          <w:tcPr>
            <w:tcW w:w="636" w:type="pct"/>
            <w:vAlign w:val="center"/>
          </w:tcPr>
          <w:p w:rsidR="00B373FD">
            <w:pPr>
              <w:snapToGrid w:val="0"/>
              <w:spacing w:line="240" w:lineRule="auto"/>
              <w:jc w:val="center"/>
              <w:rPr>
                <w:rFonts w:eastAsia="宋体"/>
                <w:bCs/>
                <w:sz w:val="24"/>
                <w:szCs w:val="24"/>
              </w:rPr>
            </w:pPr>
            <w:r>
              <w:rPr>
                <w:rFonts w:eastAsia="宋体"/>
                <w:bCs/>
                <w:sz w:val="24"/>
                <w:szCs w:val="24"/>
              </w:rPr>
              <w:t>≥97</w:t>
            </w:r>
          </w:p>
        </w:tc>
        <w:tc>
          <w:tcPr>
            <w:tcW w:w="616" w:type="pct"/>
            <w:vAlign w:val="center"/>
          </w:tcPr>
          <w:p w:rsidR="00B373FD">
            <w:pPr>
              <w:snapToGrid w:val="0"/>
              <w:spacing w:line="240" w:lineRule="auto"/>
              <w:jc w:val="center"/>
              <w:rPr>
                <w:rFonts w:eastAsia="宋体"/>
                <w:bCs/>
                <w:sz w:val="24"/>
                <w:szCs w:val="24"/>
              </w:rPr>
            </w:pPr>
            <w:r>
              <w:rPr>
                <w:rFonts w:eastAsia="宋体"/>
                <w:bCs/>
                <w:sz w:val="24"/>
                <w:szCs w:val="24"/>
              </w:rPr>
              <w:t>99.7</w:t>
            </w:r>
          </w:p>
        </w:tc>
        <w:tc>
          <w:tcPr>
            <w:tcW w:w="494" w:type="pct"/>
            <w:vAlign w:val="center"/>
          </w:tcPr>
          <w:p w:rsidR="00B373FD">
            <w:pPr>
              <w:snapToGrid w:val="0"/>
              <w:spacing w:line="240" w:lineRule="auto"/>
              <w:jc w:val="center"/>
              <w:rPr>
                <w:rFonts w:eastAsia="宋体"/>
                <w:bCs/>
                <w:sz w:val="24"/>
                <w:szCs w:val="24"/>
              </w:rPr>
            </w:pPr>
            <w:r>
              <w:rPr>
                <w:rFonts w:eastAsia="宋体" w:hint="eastAsia"/>
                <w:bCs/>
                <w:sz w:val="24"/>
                <w:szCs w:val="24"/>
              </w:rPr>
              <w:t>已完成</w:t>
            </w:r>
          </w:p>
        </w:tc>
      </w:tr>
      <w:tr>
        <w:tblPrEx>
          <w:tblW w:w="5036" w:type="pct"/>
          <w:jc w:val="center"/>
          <w:tblLayout w:type="fixed"/>
          <w:tblCellMar>
            <w:left w:w="0" w:type="dxa"/>
            <w:right w:w="0" w:type="dxa"/>
          </w:tblCellMar>
          <w:tblLook w:val="04A0"/>
        </w:tblPrEx>
        <w:trPr>
          <w:cantSplit/>
          <w:trHeight w:hRule="exact" w:val="510"/>
          <w:jc w:val="center"/>
        </w:trPr>
        <w:tc>
          <w:tcPr>
            <w:tcW w:w="333" w:type="pct"/>
            <w:vMerge/>
            <w:vAlign w:val="center"/>
          </w:tcPr>
          <w:p w:rsidR="00B373FD">
            <w:pPr>
              <w:adjustRightInd w:val="0"/>
              <w:snapToGrid w:val="0"/>
              <w:spacing w:line="240" w:lineRule="auto"/>
              <w:jc w:val="center"/>
              <w:rPr>
                <w:rFonts w:eastAsia="宋体"/>
                <w:bCs/>
                <w:sz w:val="24"/>
                <w:szCs w:val="24"/>
              </w:rPr>
            </w:pPr>
          </w:p>
        </w:tc>
        <w:tc>
          <w:tcPr>
            <w:tcW w:w="1271" w:type="pct"/>
            <w:gridSpan w:val="2"/>
            <w:vMerge/>
            <w:vAlign w:val="center"/>
          </w:tcPr>
          <w:p w:rsidR="00B373FD">
            <w:pPr>
              <w:adjustRightInd w:val="0"/>
              <w:snapToGrid w:val="0"/>
              <w:spacing w:line="240" w:lineRule="auto"/>
              <w:rPr>
                <w:rFonts w:eastAsia="宋体"/>
                <w:bCs/>
                <w:sz w:val="24"/>
                <w:szCs w:val="24"/>
              </w:rPr>
            </w:pPr>
          </w:p>
        </w:tc>
        <w:tc>
          <w:tcPr>
            <w:tcW w:w="1246" w:type="pct"/>
            <w:vAlign w:val="center"/>
          </w:tcPr>
          <w:p w:rsidR="00B373FD">
            <w:pPr>
              <w:adjustRightInd w:val="0"/>
              <w:snapToGrid w:val="0"/>
              <w:spacing w:line="240" w:lineRule="auto"/>
              <w:rPr>
                <w:rFonts w:eastAsia="宋体"/>
                <w:bCs/>
                <w:sz w:val="24"/>
                <w:szCs w:val="24"/>
              </w:rPr>
            </w:pPr>
            <w:r>
              <w:rPr>
                <w:rFonts w:eastAsia="宋体"/>
                <w:bCs/>
                <w:sz w:val="24"/>
                <w:szCs w:val="24"/>
              </w:rPr>
              <w:t>镇区</w:t>
            </w:r>
          </w:p>
        </w:tc>
        <w:tc>
          <w:tcPr>
            <w:tcW w:w="400" w:type="pct"/>
            <w:vAlign w:val="center"/>
          </w:tcPr>
          <w:p w:rsidR="00B373FD">
            <w:pPr>
              <w:adjustRightInd w:val="0"/>
              <w:snapToGrid w:val="0"/>
              <w:spacing w:line="240" w:lineRule="auto"/>
              <w:jc w:val="center"/>
              <w:rPr>
                <w:rFonts w:eastAsia="宋体"/>
                <w:bCs/>
                <w:sz w:val="24"/>
                <w:szCs w:val="24"/>
              </w:rPr>
            </w:pPr>
            <w:r>
              <w:rPr>
                <w:rFonts w:eastAsia="宋体"/>
                <w:bCs/>
                <w:sz w:val="24"/>
                <w:szCs w:val="24"/>
              </w:rPr>
              <w:t>%</w:t>
            </w:r>
          </w:p>
        </w:tc>
        <w:tc>
          <w:tcPr>
            <w:tcW w:w="636" w:type="pct"/>
            <w:vAlign w:val="center"/>
          </w:tcPr>
          <w:p w:rsidR="00B373FD">
            <w:pPr>
              <w:snapToGrid w:val="0"/>
              <w:spacing w:line="240" w:lineRule="auto"/>
              <w:jc w:val="center"/>
              <w:rPr>
                <w:rFonts w:eastAsia="宋体"/>
                <w:bCs/>
                <w:sz w:val="24"/>
                <w:szCs w:val="24"/>
              </w:rPr>
            </w:pPr>
            <w:r>
              <w:rPr>
                <w:rFonts w:eastAsia="宋体"/>
                <w:bCs/>
                <w:sz w:val="24"/>
                <w:szCs w:val="24"/>
              </w:rPr>
              <w:t>≥93</w:t>
            </w:r>
          </w:p>
        </w:tc>
        <w:tc>
          <w:tcPr>
            <w:tcW w:w="616" w:type="pct"/>
            <w:vAlign w:val="center"/>
          </w:tcPr>
          <w:p w:rsidR="00B373FD">
            <w:pPr>
              <w:snapToGrid w:val="0"/>
              <w:spacing w:line="240" w:lineRule="auto"/>
              <w:jc w:val="center"/>
              <w:rPr>
                <w:rFonts w:eastAsia="宋体"/>
                <w:bCs/>
                <w:sz w:val="24"/>
                <w:szCs w:val="24"/>
              </w:rPr>
            </w:pPr>
            <w:r>
              <w:rPr>
                <w:rFonts w:eastAsia="宋体"/>
                <w:bCs/>
                <w:sz w:val="24"/>
                <w:szCs w:val="24"/>
              </w:rPr>
              <w:t>99.3</w:t>
            </w:r>
          </w:p>
        </w:tc>
        <w:tc>
          <w:tcPr>
            <w:tcW w:w="494" w:type="pct"/>
            <w:vAlign w:val="center"/>
          </w:tcPr>
          <w:p w:rsidR="00B373FD">
            <w:pPr>
              <w:snapToGrid w:val="0"/>
              <w:spacing w:line="240" w:lineRule="auto"/>
              <w:jc w:val="center"/>
              <w:rPr>
                <w:rFonts w:eastAsia="宋体"/>
                <w:bCs/>
                <w:sz w:val="24"/>
                <w:szCs w:val="24"/>
              </w:rPr>
            </w:pPr>
            <w:r>
              <w:rPr>
                <w:rFonts w:eastAsia="宋体" w:hint="eastAsia"/>
                <w:bCs/>
                <w:sz w:val="24"/>
                <w:szCs w:val="24"/>
              </w:rPr>
              <w:t>已完成</w:t>
            </w:r>
          </w:p>
        </w:tc>
      </w:tr>
      <w:tr>
        <w:tblPrEx>
          <w:tblW w:w="5036" w:type="pct"/>
          <w:jc w:val="center"/>
          <w:tblLayout w:type="fixed"/>
          <w:tblCellMar>
            <w:left w:w="0" w:type="dxa"/>
            <w:right w:w="0" w:type="dxa"/>
          </w:tblCellMar>
          <w:tblLook w:val="04A0"/>
        </w:tblPrEx>
        <w:trPr>
          <w:cantSplit/>
          <w:trHeight w:hRule="exact" w:val="510"/>
          <w:jc w:val="center"/>
        </w:trPr>
        <w:tc>
          <w:tcPr>
            <w:tcW w:w="333" w:type="pct"/>
            <w:vMerge/>
            <w:vAlign w:val="center"/>
          </w:tcPr>
          <w:p w:rsidR="00B373FD">
            <w:pPr>
              <w:adjustRightInd w:val="0"/>
              <w:snapToGrid w:val="0"/>
              <w:spacing w:line="240" w:lineRule="auto"/>
              <w:jc w:val="center"/>
              <w:rPr>
                <w:rFonts w:eastAsia="宋体"/>
                <w:bCs/>
                <w:sz w:val="24"/>
                <w:szCs w:val="24"/>
              </w:rPr>
            </w:pPr>
          </w:p>
        </w:tc>
        <w:tc>
          <w:tcPr>
            <w:tcW w:w="1271" w:type="pct"/>
            <w:gridSpan w:val="2"/>
            <w:vMerge/>
            <w:vAlign w:val="center"/>
          </w:tcPr>
          <w:p w:rsidR="00B373FD">
            <w:pPr>
              <w:adjustRightInd w:val="0"/>
              <w:snapToGrid w:val="0"/>
              <w:spacing w:line="240" w:lineRule="auto"/>
              <w:rPr>
                <w:rFonts w:eastAsia="宋体"/>
                <w:bCs/>
                <w:sz w:val="24"/>
                <w:szCs w:val="24"/>
              </w:rPr>
            </w:pPr>
          </w:p>
        </w:tc>
        <w:tc>
          <w:tcPr>
            <w:tcW w:w="1246" w:type="pct"/>
            <w:vAlign w:val="center"/>
          </w:tcPr>
          <w:p w:rsidR="00B373FD">
            <w:pPr>
              <w:adjustRightInd w:val="0"/>
              <w:snapToGrid w:val="0"/>
              <w:spacing w:line="240" w:lineRule="auto"/>
              <w:rPr>
                <w:rFonts w:eastAsia="宋体"/>
                <w:bCs/>
                <w:sz w:val="24"/>
                <w:szCs w:val="24"/>
              </w:rPr>
            </w:pPr>
            <w:r>
              <w:rPr>
                <w:rFonts w:eastAsia="宋体"/>
                <w:bCs/>
                <w:sz w:val="24"/>
                <w:szCs w:val="24"/>
              </w:rPr>
              <w:t>农村</w:t>
            </w:r>
          </w:p>
        </w:tc>
        <w:tc>
          <w:tcPr>
            <w:tcW w:w="400" w:type="pct"/>
            <w:vAlign w:val="center"/>
          </w:tcPr>
          <w:p w:rsidR="00B373FD">
            <w:pPr>
              <w:adjustRightInd w:val="0"/>
              <w:snapToGrid w:val="0"/>
              <w:spacing w:line="240" w:lineRule="auto"/>
              <w:jc w:val="center"/>
              <w:rPr>
                <w:rFonts w:eastAsia="宋体"/>
                <w:bCs/>
                <w:sz w:val="24"/>
                <w:szCs w:val="24"/>
              </w:rPr>
            </w:pPr>
            <w:r>
              <w:rPr>
                <w:rFonts w:eastAsia="宋体"/>
                <w:bCs/>
                <w:sz w:val="24"/>
                <w:szCs w:val="24"/>
              </w:rPr>
              <w:t>%</w:t>
            </w:r>
          </w:p>
        </w:tc>
        <w:tc>
          <w:tcPr>
            <w:tcW w:w="636" w:type="pct"/>
            <w:vAlign w:val="center"/>
          </w:tcPr>
          <w:p w:rsidR="00B373FD">
            <w:pPr>
              <w:snapToGrid w:val="0"/>
              <w:spacing w:line="240" w:lineRule="auto"/>
              <w:jc w:val="center"/>
              <w:rPr>
                <w:rFonts w:eastAsia="宋体"/>
                <w:bCs/>
                <w:sz w:val="24"/>
                <w:szCs w:val="24"/>
              </w:rPr>
            </w:pPr>
            <w:r>
              <w:rPr>
                <w:rFonts w:eastAsia="宋体"/>
                <w:bCs/>
                <w:sz w:val="24"/>
                <w:szCs w:val="24"/>
              </w:rPr>
              <w:t>≥80</w:t>
            </w:r>
          </w:p>
        </w:tc>
        <w:tc>
          <w:tcPr>
            <w:tcW w:w="616" w:type="pct"/>
            <w:vAlign w:val="center"/>
          </w:tcPr>
          <w:p w:rsidR="00B373FD">
            <w:pPr>
              <w:snapToGrid w:val="0"/>
              <w:spacing w:line="240" w:lineRule="auto"/>
              <w:jc w:val="center"/>
              <w:rPr>
                <w:rFonts w:eastAsia="宋体"/>
                <w:bCs/>
                <w:sz w:val="24"/>
                <w:szCs w:val="24"/>
              </w:rPr>
            </w:pPr>
            <w:r>
              <w:rPr>
                <w:rFonts w:eastAsia="宋体" w:hint="eastAsia"/>
                <w:bCs/>
                <w:sz w:val="24"/>
                <w:szCs w:val="24"/>
              </w:rPr>
              <w:t>90.4</w:t>
            </w:r>
          </w:p>
        </w:tc>
        <w:tc>
          <w:tcPr>
            <w:tcW w:w="494" w:type="pct"/>
            <w:vAlign w:val="center"/>
          </w:tcPr>
          <w:p w:rsidR="00B373FD">
            <w:pPr>
              <w:snapToGrid w:val="0"/>
              <w:spacing w:line="240" w:lineRule="auto"/>
              <w:jc w:val="center"/>
              <w:rPr>
                <w:rFonts w:eastAsia="宋体"/>
                <w:bCs/>
                <w:sz w:val="24"/>
                <w:szCs w:val="24"/>
              </w:rPr>
            </w:pPr>
            <w:r>
              <w:rPr>
                <w:rFonts w:eastAsia="宋体" w:hint="eastAsia"/>
                <w:bCs/>
                <w:sz w:val="24"/>
                <w:szCs w:val="24"/>
              </w:rPr>
              <w:t>已完成</w:t>
            </w:r>
          </w:p>
        </w:tc>
      </w:tr>
      <w:tr>
        <w:tblPrEx>
          <w:tblW w:w="5036" w:type="pct"/>
          <w:jc w:val="center"/>
          <w:tblLayout w:type="fixed"/>
          <w:tblCellMar>
            <w:left w:w="0" w:type="dxa"/>
            <w:right w:w="0" w:type="dxa"/>
          </w:tblCellMar>
          <w:tblLook w:val="04A0"/>
        </w:tblPrEx>
        <w:trPr>
          <w:cantSplit/>
          <w:trHeight w:hRule="exact" w:val="510"/>
          <w:jc w:val="center"/>
        </w:trPr>
        <w:tc>
          <w:tcPr>
            <w:tcW w:w="333" w:type="pct"/>
            <w:vMerge/>
            <w:vAlign w:val="center"/>
          </w:tcPr>
          <w:p w:rsidR="00B373FD">
            <w:pPr>
              <w:adjustRightInd w:val="0"/>
              <w:snapToGrid w:val="0"/>
              <w:spacing w:line="240" w:lineRule="auto"/>
              <w:jc w:val="center"/>
              <w:rPr>
                <w:rFonts w:eastAsia="宋体"/>
                <w:bCs/>
                <w:sz w:val="24"/>
                <w:szCs w:val="24"/>
              </w:rPr>
            </w:pPr>
          </w:p>
        </w:tc>
        <w:tc>
          <w:tcPr>
            <w:tcW w:w="2518" w:type="pct"/>
            <w:gridSpan w:val="3"/>
            <w:vAlign w:val="center"/>
          </w:tcPr>
          <w:p w:rsidR="00B373FD">
            <w:pPr>
              <w:adjustRightInd w:val="0"/>
              <w:snapToGrid w:val="0"/>
              <w:spacing w:line="240" w:lineRule="auto"/>
              <w:rPr>
                <w:rFonts w:eastAsia="宋体"/>
                <w:bCs/>
                <w:sz w:val="24"/>
                <w:szCs w:val="24"/>
              </w:rPr>
            </w:pPr>
            <w:r>
              <w:rPr>
                <w:rFonts w:eastAsia="宋体"/>
                <w:bCs/>
                <w:sz w:val="24"/>
                <w:szCs w:val="24"/>
              </w:rPr>
              <w:t>22.</w:t>
            </w:r>
            <w:r>
              <w:rPr>
                <w:rFonts w:eastAsia="宋体"/>
                <w:bCs/>
                <w:sz w:val="24"/>
                <w:szCs w:val="24"/>
              </w:rPr>
              <w:t>危险废物安全处置率</w:t>
            </w:r>
          </w:p>
        </w:tc>
        <w:tc>
          <w:tcPr>
            <w:tcW w:w="400" w:type="pct"/>
            <w:vAlign w:val="center"/>
          </w:tcPr>
          <w:p w:rsidR="00B373FD">
            <w:pPr>
              <w:adjustRightInd w:val="0"/>
              <w:snapToGrid w:val="0"/>
              <w:spacing w:line="240" w:lineRule="auto"/>
              <w:jc w:val="center"/>
              <w:rPr>
                <w:rFonts w:eastAsia="宋体"/>
                <w:bCs/>
                <w:sz w:val="24"/>
                <w:szCs w:val="24"/>
              </w:rPr>
            </w:pPr>
            <w:r>
              <w:rPr>
                <w:rFonts w:eastAsia="宋体"/>
                <w:bCs/>
                <w:sz w:val="24"/>
                <w:szCs w:val="24"/>
              </w:rPr>
              <w:t>%</w:t>
            </w:r>
          </w:p>
        </w:tc>
        <w:tc>
          <w:tcPr>
            <w:tcW w:w="636" w:type="pct"/>
            <w:vAlign w:val="center"/>
          </w:tcPr>
          <w:p w:rsidR="00B373FD">
            <w:pPr>
              <w:snapToGrid w:val="0"/>
              <w:spacing w:line="240" w:lineRule="auto"/>
              <w:jc w:val="center"/>
              <w:rPr>
                <w:rFonts w:eastAsia="宋体"/>
                <w:bCs/>
                <w:sz w:val="24"/>
                <w:szCs w:val="24"/>
              </w:rPr>
            </w:pPr>
            <w:r>
              <w:rPr>
                <w:rFonts w:eastAsia="宋体"/>
                <w:bCs/>
                <w:sz w:val="24"/>
                <w:szCs w:val="24"/>
              </w:rPr>
              <w:t>100</w:t>
            </w:r>
          </w:p>
        </w:tc>
        <w:tc>
          <w:tcPr>
            <w:tcW w:w="616" w:type="pct"/>
            <w:vAlign w:val="center"/>
          </w:tcPr>
          <w:p w:rsidR="00B373FD">
            <w:pPr>
              <w:snapToGrid w:val="0"/>
              <w:spacing w:line="240" w:lineRule="auto"/>
              <w:jc w:val="center"/>
              <w:rPr>
                <w:rFonts w:eastAsia="宋体"/>
                <w:bCs/>
                <w:sz w:val="24"/>
                <w:szCs w:val="24"/>
              </w:rPr>
            </w:pPr>
            <w:r>
              <w:rPr>
                <w:rFonts w:eastAsia="宋体"/>
                <w:bCs/>
                <w:sz w:val="24"/>
                <w:szCs w:val="24"/>
              </w:rPr>
              <w:t>100</w:t>
            </w:r>
          </w:p>
        </w:tc>
        <w:tc>
          <w:tcPr>
            <w:tcW w:w="494" w:type="pct"/>
          </w:tcPr>
          <w:p w:rsidR="00B373FD">
            <w:pPr>
              <w:adjustRightInd w:val="0"/>
              <w:snapToGrid w:val="0"/>
              <w:spacing w:line="240" w:lineRule="auto"/>
              <w:jc w:val="center"/>
              <w:rPr>
                <w:rFonts w:eastAsia="宋体"/>
                <w:bCs/>
                <w:sz w:val="24"/>
                <w:szCs w:val="24"/>
              </w:rPr>
            </w:pPr>
            <w:r>
              <w:rPr>
                <w:rFonts w:eastAsia="宋体" w:hint="eastAsia"/>
                <w:bCs/>
                <w:sz w:val="24"/>
                <w:szCs w:val="24"/>
              </w:rPr>
              <w:t>已完成</w:t>
            </w:r>
          </w:p>
        </w:tc>
      </w:tr>
      <w:tr>
        <w:tblPrEx>
          <w:tblW w:w="5036" w:type="pct"/>
          <w:jc w:val="center"/>
          <w:tblLayout w:type="fixed"/>
          <w:tblCellMar>
            <w:left w:w="0" w:type="dxa"/>
            <w:right w:w="0" w:type="dxa"/>
          </w:tblCellMar>
          <w:tblLook w:val="04A0"/>
        </w:tblPrEx>
        <w:trPr>
          <w:cantSplit/>
          <w:trHeight w:hRule="exact" w:val="510"/>
          <w:jc w:val="center"/>
        </w:trPr>
        <w:tc>
          <w:tcPr>
            <w:tcW w:w="333" w:type="pct"/>
            <w:vMerge/>
            <w:vAlign w:val="center"/>
          </w:tcPr>
          <w:p w:rsidR="00B373FD">
            <w:pPr>
              <w:adjustRightInd w:val="0"/>
              <w:snapToGrid w:val="0"/>
              <w:spacing w:line="240" w:lineRule="auto"/>
              <w:jc w:val="center"/>
              <w:rPr>
                <w:rFonts w:eastAsia="宋体"/>
                <w:bCs/>
                <w:sz w:val="24"/>
                <w:szCs w:val="24"/>
              </w:rPr>
            </w:pPr>
          </w:p>
        </w:tc>
        <w:tc>
          <w:tcPr>
            <w:tcW w:w="2518" w:type="pct"/>
            <w:gridSpan w:val="3"/>
            <w:vAlign w:val="center"/>
          </w:tcPr>
          <w:p w:rsidR="00B373FD">
            <w:pPr>
              <w:adjustRightInd w:val="0"/>
              <w:snapToGrid w:val="0"/>
              <w:spacing w:line="240" w:lineRule="auto"/>
              <w:rPr>
                <w:rFonts w:eastAsia="宋体"/>
                <w:bCs/>
                <w:sz w:val="24"/>
                <w:szCs w:val="24"/>
              </w:rPr>
            </w:pPr>
            <w:r>
              <w:rPr>
                <w:rFonts w:eastAsia="宋体"/>
                <w:sz w:val="24"/>
                <w:szCs w:val="24"/>
              </w:rPr>
              <w:t>23.</w:t>
            </w:r>
            <w:r>
              <w:rPr>
                <w:rFonts w:eastAsia="宋体"/>
                <w:sz w:val="24"/>
                <w:szCs w:val="24"/>
              </w:rPr>
              <w:t>辐射事故安全处置率</w:t>
            </w:r>
          </w:p>
        </w:tc>
        <w:tc>
          <w:tcPr>
            <w:tcW w:w="400" w:type="pct"/>
            <w:vAlign w:val="center"/>
          </w:tcPr>
          <w:p w:rsidR="00B373FD">
            <w:pPr>
              <w:adjustRightInd w:val="0"/>
              <w:snapToGrid w:val="0"/>
              <w:spacing w:line="240" w:lineRule="auto"/>
              <w:jc w:val="center"/>
              <w:rPr>
                <w:rFonts w:eastAsia="宋体"/>
                <w:bCs/>
                <w:sz w:val="24"/>
                <w:szCs w:val="24"/>
              </w:rPr>
            </w:pPr>
            <w:r>
              <w:rPr>
                <w:rFonts w:eastAsia="宋体"/>
                <w:bCs/>
                <w:sz w:val="24"/>
                <w:szCs w:val="24"/>
              </w:rPr>
              <w:t>%</w:t>
            </w:r>
          </w:p>
        </w:tc>
        <w:tc>
          <w:tcPr>
            <w:tcW w:w="636" w:type="pct"/>
            <w:vAlign w:val="center"/>
          </w:tcPr>
          <w:p w:rsidR="00B373FD">
            <w:pPr>
              <w:snapToGrid w:val="0"/>
              <w:spacing w:line="240" w:lineRule="auto"/>
              <w:jc w:val="center"/>
              <w:rPr>
                <w:rFonts w:eastAsia="宋体"/>
                <w:bCs/>
                <w:sz w:val="24"/>
                <w:szCs w:val="24"/>
              </w:rPr>
            </w:pPr>
            <w:r>
              <w:rPr>
                <w:rFonts w:eastAsia="宋体"/>
                <w:bCs/>
                <w:sz w:val="24"/>
                <w:szCs w:val="24"/>
              </w:rPr>
              <w:t>100</w:t>
            </w:r>
          </w:p>
        </w:tc>
        <w:tc>
          <w:tcPr>
            <w:tcW w:w="616" w:type="pct"/>
            <w:vAlign w:val="center"/>
          </w:tcPr>
          <w:p w:rsidR="00B373FD">
            <w:pPr>
              <w:snapToGrid w:val="0"/>
              <w:spacing w:line="240" w:lineRule="auto"/>
              <w:jc w:val="center"/>
              <w:rPr>
                <w:rFonts w:eastAsia="宋体"/>
                <w:bCs/>
                <w:sz w:val="24"/>
                <w:szCs w:val="24"/>
              </w:rPr>
            </w:pPr>
            <w:r>
              <w:rPr>
                <w:rFonts w:eastAsia="宋体"/>
                <w:bCs/>
                <w:sz w:val="24"/>
                <w:szCs w:val="24"/>
              </w:rPr>
              <w:t>100</w:t>
            </w:r>
          </w:p>
        </w:tc>
        <w:tc>
          <w:tcPr>
            <w:tcW w:w="494" w:type="pct"/>
          </w:tcPr>
          <w:p w:rsidR="00B373FD">
            <w:pPr>
              <w:adjustRightInd w:val="0"/>
              <w:snapToGrid w:val="0"/>
              <w:spacing w:line="240" w:lineRule="auto"/>
              <w:jc w:val="center"/>
              <w:rPr>
                <w:rFonts w:eastAsia="宋体"/>
                <w:bCs/>
                <w:sz w:val="24"/>
                <w:szCs w:val="24"/>
              </w:rPr>
            </w:pPr>
            <w:r>
              <w:rPr>
                <w:rFonts w:eastAsia="宋体" w:hint="eastAsia"/>
                <w:bCs/>
                <w:sz w:val="24"/>
                <w:szCs w:val="24"/>
              </w:rPr>
              <w:t>已完成</w:t>
            </w:r>
          </w:p>
        </w:tc>
      </w:tr>
      <w:tr>
        <w:tblPrEx>
          <w:tblW w:w="5036" w:type="pct"/>
          <w:jc w:val="center"/>
          <w:tblLayout w:type="fixed"/>
          <w:tblCellMar>
            <w:left w:w="0" w:type="dxa"/>
            <w:right w:w="0" w:type="dxa"/>
          </w:tblCellMar>
          <w:tblLook w:val="04A0"/>
        </w:tblPrEx>
        <w:trPr>
          <w:cantSplit/>
          <w:trHeight w:hRule="exact" w:val="655"/>
          <w:jc w:val="center"/>
        </w:trPr>
        <w:tc>
          <w:tcPr>
            <w:tcW w:w="333" w:type="pct"/>
            <w:vMerge w:val="restart"/>
            <w:textDirection w:val="tbRlV"/>
            <w:vAlign w:val="center"/>
          </w:tcPr>
          <w:p w:rsidR="00B373FD">
            <w:pPr>
              <w:adjustRightInd w:val="0"/>
              <w:snapToGrid w:val="0"/>
              <w:spacing w:line="240" w:lineRule="auto"/>
              <w:ind w:left="113" w:right="113"/>
              <w:jc w:val="center"/>
              <w:rPr>
                <w:rFonts w:eastAsia="宋体"/>
                <w:bCs/>
                <w:sz w:val="24"/>
                <w:szCs w:val="24"/>
              </w:rPr>
            </w:pPr>
            <w:r>
              <w:rPr>
                <w:rFonts w:eastAsia="宋体"/>
                <w:bCs/>
                <w:sz w:val="24"/>
                <w:szCs w:val="24"/>
              </w:rPr>
              <w:t>经济环境</w:t>
            </w:r>
          </w:p>
        </w:tc>
        <w:tc>
          <w:tcPr>
            <w:tcW w:w="2518" w:type="pct"/>
            <w:gridSpan w:val="3"/>
            <w:vAlign w:val="center"/>
          </w:tcPr>
          <w:p w:rsidR="00B373FD">
            <w:pPr>
              <w:adjustRightInd w:val="0"/>
              <w:snapToGrid w:val="0"/>
              <w:spacing w:line="240" w:lineRule="auto"/>
              <w:rPr>
                <w:rFonts w:eastAsia="宋体"/>
                <w:bCs/>
                <w:sz w:val="24"/>
                <w:szCs w:val="24"/>
              </w:rPr>
            </w:pPr>
            <w:r>
              <w:rPr>
                <w:rFonts w:eastAsia="宋体"/>
                <w:bCs/>
                <w:sz w:val="24"/>
                <w:szCs w:val="24"/>
              </w:rPr>
              <w:t>24.</w:t>
            </w:r>
            <w:r>
              <w:rPr>
                <w:rFonts w:eastAsia="宋体"/>
                <w:bCs/>
                <w:sz w:val="24"/>
                <w:szCs w:val="24"/>
              </w:rPr>
              <w:t>万元</w:t>
            </w:r>
            <w:r>
              <w:rPr>
                <w:rFonts w:eastAsia="宋体"/>
                <w:bCs/>
                <w:sz w:val="24"/>
                <w:szCs w:val="24"/>
              </w:rPr>
              <w:t>GDP</w:t>
            </w:r>
            <w:r>
              <w:rPr>
                <w:rFonts w:eastAsia="宋体"/>
                <w:bCs/>
                <w:sz w:val="24"/>
                <w:szCs w:val="24"/>
              </w:rPr>
              <w:t>能耗下降率</w:t>
            </w:r>
          </w:p>
        </w:tc>
        <w:tc>
          <w:tcPr>
            <w:tcW w:w="400" w:type="pct"/>
            <w:vAlign w:val="center"/>
          </w:tcPr>
          <w:p w:rsidR="00B373FD">
            <w:pPr>
              <w:adjustRightInd w:val="0"/>
              <w:snapToGrid w:val="0"/>
              <w:spacing w:line="240" w:lineRule="auto"/>
              <w:jc w:val="center"/>
              <w:rPr>
                <w:rFonts w:eastAsia="宋体"/>
                <w:bCs/>
                <w:sz w:val="24"/>
                <w:szCs w:val="24"/>
              </w:rPr>
            </w:pPr>
            <w:r>
              <w:rPr>
                <w:rFonts w:eastAsia="宋体"/>
                <w:bCs/>
                <w:sz w:val="24"/>
                <w:szCs w:val="24"/>
              </w:rPr>
              <w:t>%</w:t>
            </w:r>
          </w:p>
        </w:tc>
        <w:tc>
          <w:tcPr>
            <w:tcW w:w="636" w:type="pct"/>
            <w:vAlign w:val="center"/>
          </w:tcPr>
          <w:p w:rsidR="00B373FD">
            <w:pPr>
              <w:snapToGrid w:val="0"/>
              <w:spacing w:line="240" w:lineRule="auto"/>
              <w:jc w:val="center"/>
              <w:rPr>
                <w:rFonts w:eastAsia="宋体"/>
                <w:bCs/>
                <w:sz w:val="24"/>
                <w:szCs w:val="24"/>
              </w:rPr>
            </w:pPr>
            <w:r>
              <w:rPr>
                <w:rFonts w:eastAsia="宋体"/>
                <w:bCs/>
                <w:sz w:val="24"/>
                <w:szCs w:val="24"/>
              </w:rPr>
              <w:t>完成上级下达目标</w:t>
            </w:r>
          </w:p>
        </w:tc>
        <w:tc>
          <w:tcPr>
            <w:tcW w:w="616" w:type="pct"/>
            <w:vAlign w:val="center"/>
          </w:tcPr>
          <w:p w:rsidR="00B373FD">
            <w:pPr>
              <w:snapToGrid w:val="0"/>
              <w:spacing w:line="240" w:lineRule="auto"/>
              <w:jc w:val="center"/>
              <w:rPr>
                <w:rFonts w:eastAsia="宋体"/>
                <w:bCs/>
                <w:sz w:val="24"/>
                <w:szCs w:val="24"/>
              </w:rPr>
            </w:pPr>
            <w:r>
              <w:rPr>
                <w:rFonts w:eastAsia="宋体"/>
                <w:bCs/>
                <w:sz w:val="24"/>
                <w:szCs w:val="24"/>
              </w:rPr>
              <w:t>完成上级下达目标</w:t>
            </w:r>
          </w:p>
        </w:tc>
        <w:tc>
          <w:tcPr>
            <w:tcW w:w="494" w:type="pct"/>
            <w:vAlign w:val="center"/>
          </w:tcPr>
          <w:p w:rsidR="00B373FD">
            <w:pPr>
              <w:snapToGrid w:val="0"/>
              <w:spacing w:line="240" w:lineRule="auto"/>
              <w:jc w:val="center"/>
              <w:rPr>
                <w:rFonts w:eastAsia="宋体"/>
                <w:bCs/>
                <w:sz w:val="24"/>
                <w:szCs w:val="24"/>
              </w:rPr>
            </w:pPr>
            <w:r>
              <w:rPr>
                <w:rFonts w:eastAsia="宋体" w:hint="eastAsia"/>
                <w:bCs/>
                <w:sz w:val="24"/>
                <w:szCs w:val="24"/>
              </w:rPr>
              <w:t>已完成</w:t>
            </w:r>
          </w:p>
        </w:tc>
      </w:tr>
      <w:tr>
        <w:tblPrEx>
          <w:tblW w:w="5036" w:type="pct"/>
          <w:jc w:val="center"/>
          <w:tblLayout w:type="fixed"/>
          <w:tblCellMar>
            <w:left w:w="0" w:type="dxa"/>
            <w:right w:w="0" w:type="dxa"/>
          </w:tblCellMar>
          <w:tblLook w:val="04A0"/>
        </w:tblPrEx>
        <w:trPr>
          <w:cantSplit/>
          <w:trHeight w:hRule="exact" w:val="745"/>
          <w:jc w:val="center"/>
        </w:trPr>
        <w:tc>
          <w:tcPr>
            <w:tcW w:w="333" w:type="pct"/>
            <w:vMerge/>
            <w:vAlign w:val="center"/>
          </w:tcPr>
          <w:p w:rsidR="00B373FD">
            <w:pPr>
              <w:adjustRightInd w:val="0"/>
              <w:snapToGrid w:val="0"/>
              <w:spacing w:line="240" w:lineRule="auto"/>
              <w:jc w:val="center"/>
              <w:rPr>
                <w:rFonts w:eastAsia="宋体"/>
                <w:bCs/>
                <w:sz w:val="24"/>
                <w:szCs w:val="24"/>
              </w:rPr>
            </w:pPr>
          </w:p>
        </w:tc>
        <w:tc>
          <w:tcPr>
            <w:tcW w:w="2518" w:type="pct"/>
            <w:gridSpan w:val="3"/>
            <w:vAlign w:val="center"/>
          </w:tcPr>
          <w:p w:rsidR="00B373FD">
            <w:pPr>
              <w:adjustRightInd w:val="0"/>
              <w:snapToGrid w:val="0"/>
              <w:spacing w:line="240" w:lineRule="auto"/>
              <w:rPr>
                <w:rFonts w:eastAsia="宋体"/>
                <w:bCs/>
                <w:sz w:val="24"/>
                <w:szCs w:val="24"/>
              </w:rPr>
            </w:pPr>
            <w:r>
              <w:rPr>
                <w:rFonts w:eastAsia="宋体"/>
                <w:bCs/>
                <w:sz w:val="24"/>
                <w:szCs w:val="24"/>
              </w:rPr>
              <w:t>25.</w:t>
            </w:r>
            <w:r>
              <w:rPr>
                <w:rFonts w:eastAsia="宋体"/>
                <w:bCs/>
                <w:sz w:val="24"/>
                <w:szCs w:val="24"/>
              </w:rPr>
              <w:t>万元</w:t>
            </w:r>
            <w:r>
              <w:rPr>
                <w:rFonts w:eastAsia="宋体"/>
                <w:bCs/>
                <w:sz w:val="24"/>
                <w:szCs w:val="24"/>
              </w:rPr>
              <w:t>GDP</w:t>
            </w:r>
            <w:r>
              <w:rPr>
                <w:rFonts w:eastAsia="宋体"/>
                <w:bCs/>
                <w:sz w:val="24"/>
                <w:szCs w:val="24"/>
              </w:rPr>
              <w:t>二氧化碳排放削减率</w:t>
            </w:r>
          </w:p>
        </w:tc>
        <w:tc>
          <w:tcPr>
            <w:tcW w:w="400" w:type="pct"/>
            <w:vAlign w:val="center"/>
          </w:tcPr>
          <w:p w:rsidR="00B373FD">
            <w:pPr>
              <w:adjustRightInd w:val="0"/>
              <w:snapToGrid w:val="0"/>
              <w:spacing w:line="240" w:lineRule="auto"/>
              <w:jc w:val="center"/>
              <w:rPr>
                <w:rFonts w:eastAsia="宋体"/>
                <w:bCs/>
                <w:sz w:val="24"/>
                <w:szCs w:val="24"/>
              </w:rPr>
            </w:pPr>
            <w:r>
              <w:rPr>
                <w:rFonts w:eastAsia="宋体"/>
                <w:bCs/>
                <w:sz w:val="24"/>
                <w:szCs w:val="24"/>
              </w:rPr>
              <w:t>%</w:t>
            </w:r>
          </w:p>
        </w:tc>
        <w:tc>
          <w:tcPr>
            <w:tcW w:w="636" w:type="pct"/>
            <w:vAlign w:val="center"/>
          </w:tcPr>
          <w:p w:rsidR="00B373FD">
            <w:pPr>
              <w:snapToGrid w:val="0"/>
              <w:spacing w:line="240" w:lineRule="auto"/>
              <w:jc w:val="center"/>
              <w:rPr>
                <w:rFonts w:eastAsia="宋体"/>
                <w:bCs/>
                <w:sz w:val="24"/>
                <w:szCs w:val="24"/>
              </w:rPr>
            </w:pPr>
            <w:r>
              <w:rPr>
                <w:rFonts w:eastAsia="宋体"/>
                <w:bCs/>
                <w:sz w:val="24"/>
                <w:szCs w:val="24"/>
              </w:rPr>
              <w:t>完成上级下达目标</w:t>
            </w:r>
          </w:p>
        </w:tc>
        <w:tc>
          <w:tcPr>
            <w:tcW w:w="616" w:type="pct"/>
            <w:vAlign w:val="center"/>
          </w:tcPr>
          <w:p w:rsidR="00B373FD">
            <w:pPr>
              <w:adjustRightInd w:val="0"/>
              <w:snapToGrid w:val="0"/>
              <w:spacing w:line="240" w:lineRule="auto"/>
              <w:jc w:val="center"/>
              <w:rPr>
                <w:rFonts w:eastAsia="宋体"/>
                <w:bCs/>
                <w:sz w:val="24"/>
                <w:szCs w:val="24"/>
              </w:rPr>
            </w:pPr>
            <w:r>
              <w:rPr>
                <w:rFonts w:eastAsia="宋体"/>
                <w:bCs/>
                <w:sz w:val="24"/>
                <w:szCs w:val="24"/>
              </w:rPr>
              <w:t>5.38</w:t>
            </w:r>
          </w:p>
        </w:tc>
        <w:tc>
          <w:tcPr>
            <w:tcW w:w="494" w:type="pct"/>
            <w:vAlign w:val="center"/>
          </w:tcPr>
          <w:p w:rsidR="00B373FD">
            <w:pPr>
              <w:adjustRightInd w:val="0"/>
              <w:snapToGrid w:val="0"/>
              <w:spacing w:line="240" w:lineRule="auto"/>
              <w:jc w:val="center"/>
              <w:rPr>
                <w:rFonts w:eastAsia="宋体"/>
                <w:bCs/>
                <w:sz w:val="24"/>
                <w:szCs w:val="24"/>
              </w:rPr>
            </w:pPr>
            <w:r>
              <w:rPr>
                <w:rFonts w:eastAsia="宋体" w:hint="eastAsia"/>
                <w:bCs/>
                <w:sz w:val="24"/>
                <w:szCs w:val="24"/>
              </w:rPr>
              <w:t>已完成</w:t>
            </w:r>
          </w:p>
        </w:tc>
      </w:tr>
      <w:tr>
        <w:tblPrEx>
          <w:tblW w:w="5036" w:type="pct"/>
          <w:jc w:val="center"/>
          <w:tblLayout w:type="fixed"/>
          <w:tblCellMar>
            <w:left w:w="0" w:type="dxa"/>
            <w:right w:w="0" w:type="dxa"/>
          </w:tblCellMar>
          <w:tblLook w:val="04A0"/>
        </w:tblPrEx>
        <w:trPr>
          <w:cantSplit/>
          <w:trHeight w:hRule="exact" w:val="1000"/>
          <w:jc w:val="center"/>
        </w:trPr>
        <w:tc>
          <w:tcPr>
            <w:tcW w:w="333" w:type="pct"/>
            <w:textDirection w:val="tbRlV"/>
            <w:vAlign w:val="center"/>
          </w:tcPr>
          <w:p w:rsidR="00B373FD">
            <w:pPr>
              <w:adjustRightInd w:val="0"/>
              <w:snapToGrid w:val="0"/>
              <w:spacing w:line="240" w:lineRule="auto"/>
              <w:ind w:left="113" w:right="113"/>
              <w:jc w:val="center"/>
              <w:rPr>
                <w:rFonts w:eastAsia="宋体"/>
                <w:bCs/>
                <w:sz w:val="24"/>
                <w:szCs w:val="24"/>
              </w:rPr>
            </w:pPr>
            <w:r>
              <w:rPr>
                <w:rFonts w:eastAsia="宋体"/>
                <w:bCs/>
                <w:sz w:val="24"/>
                <w:szCs w:val="24"/>
              </w:rPr>
              <w:t>满意度</w:t>
            </w:r>
          </w:p>
        </w:tc>
        <w:tc>
          <w:tcPr>
            <w:tcW w:w="2518" w:type="pct"/>
            <w:gridSpan w:val="3"/>
            <w:vAlign w:val="center"/>
          </w:tcPr>
          <w:p w:rsidR="00B373FD">
            <w:pPr>
              <w:adjustRightInd w:val="0"/>
              <w:snapToGrid w:val="0"/>
              <w:spacing w:line="240" w:lineRule="auto"/>
              <w:rPr>
                <w:rFonts w:eastAsia="宋体"/>
                <w:bCs/>
                <w:sz w:val="24"/>
                <w:szCs w:val="24"/>
              </w:rPr>
            </w:pPr>
            <w:r>
              <w:rPr>
                <w:rFonts w:eastAsia="宋体"/>
                <w:bCs/>
                <w:sz w:val="24"/>
                <w:szCs w:val="24"/>
              </w:rPr>
              <w:t>26.</w:t>
            </w:r>
            <w:r>
              <w:rPr>
                <w:rFonts w:eastAsia="宋体"/>
                <w:bCs/>
                <w:sz w:val="24"/>
                <w:szCs w:val="24"/>
              </w:rPr>
              <w:t>公众对环境质量的满意率</w:t>
            </w:r>
          </w:p>
        </w:tc>
        <w:tc>
          <w:tcPr>
            <w:tcW w:w="400" w:type="pct"/>
            <w:vAlign w:val="center"/>
          </w:tcPr>
          <w:p w:rsidR="00B373FD">
            <w:pPr>
              <w:adjustRightInd w:val="0"/>
              <w:snapToGrid w:val="0"/>
              <w:spacing w:line="240" w:lineRule="auto"/>
              <w:jc w:val="center"/>
              <w:rPr>
                <w:rFonts w:eastAsia="宋体"/>
                <w:bCs/>
                <w:sz w:val="24"/>
                <w:szCs w:val="24"/>
              </w:rPr>
            </w:pPr>
            <w:r>
              <w:rPr>
                <w:rFonts w:eastAsia="宋体"/>
                <w:bCs/>
                <w:sz w:val="24"/>
                <w:szCs w:val="24"/>
              </w:rPr>
              <w:t>%</w:t>
            </w:r>
          </w:p>
        </w:tc>
        <w:tc>
          <w:tcPr>
            <w:tcW w:w="636" w:type="pct"/>
            <w:vAlign w:val="center"/>
          </w:tcPr>
          <w:p w:rsidR="00B373FD">
            <w:pPr>
              <w:widowControl/>
              <w:snapToGrid w:val="0"/>
              <w:spacing w:line="240" w:lineRule="auto"/>
              <w:jc w:val="center"/>
              <w:rPr>
                <w:rFonts w:eastAsia="宋体"/>
                <w:bCs/>
                <w:sz w:val="24"/>
                <w:szCs w:val="24"/>
              </w:rPr>
            </w:pPr>
            <w:r>
              <w:rPr>
                <w:rFonts w:eastAsia="宋体"/>
                <w:bCs/>
                <w:sz w:val="24"/>
                <w:szCs w:val="24"/>
              </w:rPr>
              <w:t>≥85</w:t>
            </w:r>
          </w:p>
        </w:tc>
        <w:tc>
          <w:tcPr>
            <w:tcW w:w="616" w:type="pct"/>
            <w:vAlign w:val="center"/>
          </w:tcPr>
          <w:p w:rsidR="00B373FD">
            <w:pPr>
              <w:widowControl/>
              <w:snapToGrid w:val="0"/>
              <w:spacing w:line="240" w:lineRule="auto"/>
              <w:jc w:val="center"/>
              <w:rPr>
                <w:rFonts w:eastAsia="宋体"/>
                <w:bCs/>
                <w:sz w:val="24"/>
                <w:szCs w:val="24"/>
              </w:rPr>
            </w:pPr>
            <w:r>
              <w:rPr>
                <w:rFonts w:eastAsia="宋体"/>
                <w:bCs/>
                <w:sz w:val="24"/>
                <w:szCs w:val="24"/>
              </w:rPr>
              <w:t>93.4</w:t>
            </w:r>
          </w:p>
        </w:tc>
        <w:tc>
          <w:tcPr>
            <w:tcW w:w="494" w:type="pct"/>
            <w:vAlign w:val="center"/>
          </w:tcPr>
          <w:p w:rsidR="00B373FD">
            <w:pPr>
              <w:widowControl/>
              <w:snapToGrid w:val="0"/>
              <w:spacing w:line="240" w:lineRule="auto"/>
              <w:jc w:val="center"/>
              <w:rPr>
                <w:rFonts w:eastAsia="宋体"/>
                <w:bCs/>
                <w:sz w:val="24"/>
                <w:szCs w:val="24"/>
              </w:rPr>
            </w:pPr>
            <w:r>
              <w:rPr>
                <w:rFonts w:eastAsia="宋体" w:hint="eastAsia"/>
                <w:bCs/>
                <w:sz w:val="24"/>
                <w:szCs w:val="24"/>
              </w:rPr>
              <w:t>已完成</w:t>
            </w:r>
          </w:p>
        </w:tc>
      </w:tr>
    </w:tbl>
    <w:p w:rsidR="00B373FD">
      <w:pPr>
        <w:adjustRightInd w:val="0"/>
        <w:snapToGrid w:val="0"/>
        <w:spacing w:line="240" w:lineRule="auto"/>
        <w:rPr>
          <w:sz w:val="21"/>
          <w:szCs w:val="21"/>
        </w:rPr>
      </w:pPr>
      <w:r>
        <w:rPr>
          <w:sz w:val="21"/>
          <w:szCs w:val="21"/>
        </w:rPr>
        <w:t>备注：</w:t>
      </w:r>
      <w:r>
        <w:rPr>
          <w:sz w:val="21"/>
          <w:szCs w:val="21"/>
        </w:rPr>
        <w:t>①</w:t>
      </w:r>
      <w:r>
        <w:rPr>
          <w:sz w:val="21"/>
          <w:szCs w:val="21"/>
        </w:rPr>
        <w:t>较</w:t>
      </w:r>
      <w:r>
        <w:rPr>
          <w:sz w:val="21"/>
          <w:szCs w:val="21"/>
        </w:rPr>
        <w:t>2016</w:t>
      </w:r>
      <w:r>
        <w:rPr>
          <w:sz w:val="21"/>
          <w:szCs w:val="21"/>
        </w:rPr>
        <w:t>年下降</w:t>
      </w:r>
      <w:r>
        <w:rPr>
          <w:sz w:val="21"/>
          <w:szCs w:val="21"/>
        </w:rPr>
        <w:t>36.6%</w:t>
      </w:r>
      <w:r>
        <w:rPr>
          <w:sz w:val="21"/>
          <w:szCs w:val="21"/>
        </w:rPr>
        <w:t>，较</w:t>
      </w:r>
      <w:r>
        <w:rPr>
          <w:sz w:val="21"/>
          <w:szCs w:val="21"/>
        </w:rPr>
        <w:t>2019</w:t>
      </w:r>
      <w:r>
        <w:rPr>
          <w:sz w:val="21"/>
          <w:szCs w:val="21"/>
        </w:rPr>
        <w:t>年下降</w:t>
      </w:r>
      <w:r>
        <w:rPr>
          <w:sz w:val="21"/>
          <w:szCs w:val="21"/>
        </w:rPr>
        <w:t>16.1%</w:t>
      </w:r>
      <w:r>
        <w:rPr>
          <w:sz w:val="21"/>
          <w:szCs w:val="21"/>
        </w:rPr>
        <w:t>；</w:t>
      </w:r>
    </w:p>
    <w:p w:rsidR="00B373FD">
      <w:pPr>
        <w:adjustRightInd w:val="0"/>
        <w:snapToGrid w:val="0"/>
        <w:spacing w:line="240" w:lineRule="auto"/>
        <w:ind w:firstLine="960" w:firstLineChars="300"/>
        <w:rPr>
          <w:sz w:val="21"/>
          <w:szCs w:val="21"/>
        </w:rPr>
      </w:pPr>
      <w:r>
        <w:rPr>
          <w:sz w:val="21"/>
          <w:szCs w:val="21"/>
        </w:rPr>
        <w:t>②</w:t>
      </w:r>
      <w:r>
        <w:rPr>
          <w:sz w:val="21"/>
          <w:szCs w:val="21"/>
        </w:rPr>
        <w:t>为</w:t>
      </w:r>
      <w:r>
        <w:rPr>
          <w:sz w:val="21"/>
          <w:szCs w:val="21"/>
        </w:rPr>
        <w:t>2016</w:t>
      </w:r>
      <w:r>
        <w:rPr>
          <w:sz w:val="21"/>
          <w:szCs w:val="21"/>
        </w:rPr>
        <w:t>年的统计数据；</w:t>
      </w:r>
    </w:p>
    <w:p w:rsidR="00B373FD">
      <w:pPr>
        <w:adjustRightInd w:val="0"/>
        <w:snapToGrid w:val="0"/>
        <w:spacing w:line="240" w:lineRule="auto"/>
        <w:ind w:firstLine="960" w:firstLineChars="300"/>
        <w:rPr>
          <w:sz w:val="21"/>
          <w:szCs w:val="21"/>
        </w:rPr>
      </w:pPr>
      <w:r>
        <w:rPr>
          <w:sz w:val="21"/>
          <w:szCs w:val="21"/>
        </w:rPr>
        <w:t>③</w:t>
      </w:r>
      <w:r>
        <w:rPr>
          <w:sz w:val="21"/>
          <w:szCs w:val="21"/>
        </w:rPr>
        <w:t>根据《省政府关于印发江苏省生态空间管控区域规划的通知》（苏政发〔</w:t>
      </w:r>
      <w:r>
        <w:rPr>
          <w:sz w:val="21"/>
          <w:szCs w:val="21"/>
        </w:rPr>
        <w:t>2020</w:t>
      </w:r>
      <w:r>
        <w:rPr>
          <w:sz w:val="21"/>
          <w:szCs w:val="21"/>
        </w:rPr>
        <w:t>〕</w:t>
      </w:r>
      <w:r>
        <w:rPr>
          <w:sz w:val="21"/>
          <w:szCs w:val="21"/>
        </w:rPr>
        <w:t>1</w:t>
      </w:r>
      <w:r>
        <w:rPr>
          <w:sz w:val="21"/>
          <w:szCs w:val="21"/>
        </w:rPr>
        <w:t>号），经省政府统一优化调整后，</w:t>
      </w:r>
      <w:r>
        <w:rPr>
          <w:rFonts w:hint="eastAsia"/>
          <w:sz w:val="21"/>
          <w:szCs w:val="21"/>
        </w:rPr>
        <w:t>太仓</w:t>
      </w:r>
      <w:r>
        <w:rPr>
          <w:sz w:val="21"/>
          <w:szCs w:val="21"/>
        </w:rPr>
        <w:t>市国家级生态保护红线面积为</w:t>
      </w:r>
      <w:r>
        <w:rPr>
          <w:sz w:val="21"/>
          <w:szCs w:val="21"/>
        </w:rPr>
        <w:t>12.3</w:t>
      </w:r>
      <w:r>
        <w:rPr>
          <w:sz w:val="21"/>
          <w:szCs w:val="21"/>
        </w:rPr>
        <w:t>平方公里，生态空间管控区域面积为</w:t>
      </w:r>
      <w:r>
        <w:rPr>
          <w:sz w:val="21"/>
          <w:szCs w:val="21"/>
        </w:rPr>
        <w:t>134.69</w:t>
      </w:r>
      <w:r>
        <w:rPr>
          <w:sz w:val="21"/>
          <w:szCs w:val="21"/>
        </w:rPr>
        <w:t>平方公里</w:t>
      </w:r>
      <w:r>
        <w:rPr>
          <w:rFonts w:hint="eastAsia"/>
          <w:sz w:val="21"/>
          <w:szCs w:val="21"/>
        </w:rPr>
        <w:t>。</w:t>
      </w:r>
      <w:r>
        <w:rPr>
          <w:sz w:val="21"/>
          <w:szCs w:val="21"/>
        </w:rPr>
        <w:t>省政府</w:t>
      </w:r>
      <w:r>
        <w:rPr>
          <w:sz w:val="21"/>
          <w:szCs w:val="21"/>
        </w:rPr>
        <w:t>2013</w:t>
      </w:r>
      <w:r>
        <w:rPr>
          <w:sz w:val="21"/>
          <w:szCs w:val="21"/>
        </w:rPr>
        <w:t>年发布的《江苏省生态红线区域保护规划》废止。</w:t>
      </w:r>
    </w:p>
    <w:p w:rsidR="00317E8E" w:rsidP="00317E8E">
      <w:pPr>
        <w:widowControl/>
        <w:ind w:firstLine="640" w:firstLineChars="200"/>
        <w:jc w:val="left"/>
        <w:rPr>
          <w:szCs w:val="32"/>
        </w:rPr>
      </w:pPr>
      <w:r>
        <w:rPr>
          <w:szCs w:val="32"/>
        </w:rPr>
        <w:t>其中</w:t>
      </w:r>
      <w:r>
        <w:rPr>
          <w:rFonts w:hint="eastAsia"/>
          <w:szCs w:val="32"/>
        </w:rPr>
        <w:t>，第</w:t>
      </w:r>
      <w:r>
        <w:rPr>
          <w:rFonts w:hint="eastAsia"/>
          <w:szCs w:val="32"/>
        </w:rPr>
        <w:t>1</w:t>
      </w:r>
      <w:r>
        <w:rPr>
          <w:szCs w:val="32"/>
        </w:rPr>
        <w:t>6</w:t>
      </w:r>
      <w:r>
        <w:rPr>
          <w:szCs w:val="32"/>
        </w:rPr>
        <w:t>项指标</w:t>
      </w:r>
      <w:r>
        <w:rPr>
          <w:szCs w:val="32"/>
        </w:rPr>
        <w:t>未达到目标值</w:t>
      </w:r>
      <w:r>
        <w:rPr>
          <w:rFonts w:hint="eastAsia"/>
          <w:szCs w:val="32"/>
        </w:rPr>
        <w:t>，</w:t>
      </w:r>
      <w:r>
        <w:rPr>
          <w:szCs w:val="32"/>
        </w:rPr>
        <w:t>“</w:t>
      </w:r>
      <w:r>
        <w:rPr>
          <w:szCs w:val="32"/>
        </w:rPr>
        <w:t>十三五</w:t>
      </w:r>
      <w:r>
        <w:rPr>
          <w:szCs w:val="32"/>
        </w:rPr>
        <w:t>”</w:t>
      </w:r>
      <w:r>
        <w:rPr>
          <w:szCs w:val="32"/>
        </w:rPr>
        <w:t>期间</w:t>
      </w:r>
      <w:r>
        <w:rPr>
          <w:rFonts w:hint="eastAsia"/>
          <w:szCs w:val="32"/>
        </w:rPr>
        <w:t>，</w:t>
      </w:r>
      <w:r>
        <w:rPr>
          <w:szCs w:val="32"/>
        </w:rPr>
        <w:t>太仓市昼间区域环境噪声等效声级总体呈平稳状态</w:t>
      </w:r>
      <w:r>
        <w:rPr>
          <w:rFonts w:hint="eastAsia"/>
          <w:szCs w:val="32"/>
        </w:rPr>
        <w:t>，除</w:t>
      </w:r>
      <w:r>
        <w:rPr>
          <w:szCs w:val="32"/>
        </w:rPr>
        <w:t>2018</w:t>
      </w:r>
      <w:r>
        <w:rPr>
          <w:szCs w:val="32"/>
        </w:rPr>
        <w:t>年达到</w:t>
      </w:r>
      <w:r>
        <w:rPr>
          <w:szCs w:val="32"/>
        </w:rPr>
        <w:t>“</w:t>
      </w:r>
      <w:r>
        <w:rPr>
          <w:szCs w:val="32"/>
        </w:rPr>
        <w:t>较好</w:t>
      </w:r>
      <w:r>
        <w:rPr>
          <w:szCs w:val="32"/>
        </w:rPr>
        <w:t>”</w:t>
      </w:r>
      <w:r>
        <w:rPr>
          <w:szCs w:val="32"/>
        </w:rPr>
        <w:t>水平外，其余各年度均为</w:t>
      </w:r>
      <w:r>
        <w:rPr>
          <w:szCs w:val="32"/>
        </w:rPr>
        <w:t>“</w:t>
      </w:r>
      <w:r>
        <w:rPr>
          <w:szCs w:val="32"/>
        </w:rPr>
        <w:t>一般</w:t>
      </w:r>
      <w:r>
        <w:rPr>
          <w:szCs w:val="32"/>
        </w:rPr>
        <w:t>”</w:t>
      </w:r>
      <w:r>
        <w:rPr>
          <w:szCs w:val="32"/>
        </w:rPr>
        <w:t>水平，年际变化幅度不大</w:t>
      </w:r>
      <w:r>
        <w:rPr>
          <w:szCs w:val="32"/>
        </w:rPr>
        <w:t>。</w:t>
      </w:r>
    </w:p>
    <w:p w:rsidR="00B373FD" w:rsidP="00317E8E">
      <w:pPr>
        <w:widowControl/>
        <w:ind w:firstLine="640" w:firstLineChars="200"/>
        <w:rPr>
          <w:szCs w:val="32"/>
        </w:rPr>
      </w:pPr>
      <w:r>
        <w:rPr>
          <w:szCs w:val="32"/>
        </w:rPr>
        <w:t>“</w:t>
      </w:r>
      <w:r>
        <w:rPr>
          <w:szCs w:val="32"/>
        </w:rPr>
        <w:t>十三五</w:t>
      </w:r>
      <w:r>
        <w:rPr>
          <w:szCs w:val="32"/>
        </w:rPr>
        <w:t>”</w:t>
      </w:r>
      <w:r>
        <w:rPr>
          <w:szCs w:val="32"/>
        </w:rPr>
        <w:t>期间，</w:t>
      </w:r>
      <w:r>
        <w:rPr>
          <w:rFonts w:hint="eastAsia"/>
          <w:szCs w:val="32"/>
        </w:rPr>
        <w:t>人口数量和机动车数量持续增加，</w:t>
      </w:r>
      <w:r>
        <w:rPr>
          <w:szCs w:val="32"/>
        </w:rPr>
        <w:t>生活噪声和交通噪声是影响太仓市昼间区域环境噪声的主要因素</w:t>
      </w:r>
      <w:r w:rsidR="00C82635">
        <w:rPr>
          <w:szCs w:val="32"/>
        </w:rPr>
        <w:t>。</w:t>
      </w:r>
    </w:p>
    <w:p w:rsidR="00B373FD">
      <w:pPr>
        <w:pStyle w:val="a5"/>
        <w:numPr>
          <w:ilvl w:val="1"/>
          <w:numId w:val="4"/>
        </w:numPr>
        <w:ind w:firstLineChars="0"/>
        <w:rPr>
          <w:rFonts w:ascii="Times New Roman Regular" w:hAnsi="Times New Roman Regular" w:cs="Times New Roman Regular"/>
        </w:rPr>
      </w:pPr>
      <w:bookmarkStart w:id="34" w:name="_Toc77862694"/>
      <w:r>
        <w:rPr>
          <w:rFonts w:ascii="Times New Roman Regular" w:hAnsi="Times New Roman Regular" w:cs="Times New Roman Regular"/>
        </w:rPr>
        <w:t>“</w:t>
      </w:r>
      <w:r>
        <w:rPr>
          <w:rFonts w:ascii="Times New Roman Regular" w:hAnsi="Times New Roman Regular" w:cs="Times New Roman Regular"/>
        </w:rPr>
        <w:t>十三五</w:t>
      </w:r>
      <w:r>
        <w:rPr>
          <w:rFonts w:ascii="Times New Roman Regular" w:hAnsi="Times New Roman Regular" w:cs="Times New Roman Regular"/>
        </w:rPr>
        <w:t>”</w:t>
      </w:r>
      <w:r>
        <w:rPr>
          <w:rFonts w:ascii="Times New Roman Regular" w:hAnsi="Times New Roman Regular" w:cs="Times New Roman Regular"/>
        </w:rPr>
        <w:t>重点工程项目完成情况</w:t>
      </w:r>
      <w:bookmarkEnd w:id="34"/>
    </w:p>
    <w:p w:rsidR="00B373FD">
      <w:pPr>
        <w:pStyle w:val="-"/>
        <w:rPr>
          <w:rFonts w:ascii="Times New Roman Regular" w:hAnsi="Times New Roman Regular" w:cs="Times New Roman Regular"/>
        </w:rPr>
      </w:pPr>
      <w:r>
        <w:rPr>
          <w:rFonts w:ascii="Times New Roman Regular" w:hAnsi="Times New Roman Regular" w:cs="Times New Roman Regular"/>
        </w:rPr>
        <w:t xml:space="preserve"> “</w:t>
      </w:r>
      <w:r>
        <w:rPr>
          <w:rFonts w:ascii="Times New Roman Regular" w:hAnsi="Times New Roman Regular" w:cs="Times New Roman Regular"/>
        </w:rPr>
        <w:t>十三五</w:t>
      </w:r>
      <w:r>
        <w:rPr>
          <w:rFonts w:ascii="Times New Roman Regular" w:hAnsi="Times New Roman Regular" w:cs="Times New Roman Regular"/>
        </w:rPr>
        <w:t>”</w:t>
      </w:r>
      <w:r>
        <w:rPr>
          <w:rFonts w:ascii="Times New Roman Regular" w:hAnsi="Times New Roman Regular" w:cs="Times New Roman Regular"/>
        </w:rPr>
        <w:t>期间，太仓市共设置十大类、</w:t>
      </w:r>
      <w:r>
        <w:rPr>
          <w:rFonts w:ascii="Times New Roman Regular" w:hAnsi="Times New Roman Regular" w:cs="Times New Roman Regular"/>
        </w:rPr>
        <w:t>52</w:t>
      </w:r>
      <w:r>
        <w:rPr>
          <w:rFonts w:ascii="Times New Roman Regular" w:hAnsi="Times New Roman Regular" w:cs="Times New Roman Regular"/>
        </w:rPr>
        <w:t>项重点工程项目，</w:t>
      </w:r>
      <w:r>
        <w:rPr>
          <w:rFonts w:ascii="Times New Roman Regular" w:hAnsi="Times New Roman Regular" w:cs="Times New Roman Regular" w:hint="eastAsia"/>
        </w:rPr>
        <w:t>包括</w:t>
      </w:r>
      <w:r>
        <w:rPr>
          <w:rFonts w:ascii="Times New Roman Regular" w:hAnsi="Times New Roman Regular" w:cs="Times New Roman Regular"/>
        </w:rPr>
        <w:t>水环境保护</w:t>
      </w:r>
      <w:r>
        <w:rPr>
          <w:rFonts w:ascii="Times New Roman Regular" w:hAnsi="Times New Roman Regular" w:cs="Times New Roman Regular"/>
        </w:rPr>
        <w:t>9</w:t>
      </w:r>
      <w:r>
        <w:rPr>
          <w:rFonts w:ascii="Times New Roman Regular" w:hAnsi="Times New Roman Regular" w:cs="Times New Roman Regular"/>
        </w:rPr>
        <w:t>项、大气环境保护</w:t>
      </w:r>
      <w:r>
        <w:rPr>
          <w:rFonts w:ascii="Times New Roman Regular" w:hAnsi="Times New Roman Regular" w:cs="Times New Roman Regular"/>
        </w:rPr>
        <w:t>5</w:t>
      </w:r>
      <w:r>
        <w:rPr>
          <w:rFonts w:ascii="Times New Roman Regular" w:hAnsi="Times New Roman Regular" w:cs="Times New Roman Regular"/>
        </w:rPr>
        <w:t>项、土壤环境保护</w:t>
      </w:r>
      <w:r>
        <w:rPr>
          <w:rFonts w:ascii="Times New Roman Regular" w:hAnsi="Times New Roman Regular" w:cs="Times New Roman Regular"/>
        </w:rPr>
        <w:t>3</w:t>
      </w:r>
      <w:r>
        <w:rPr>
          <w:rFonts w:ascii="Times New Roman Regular" w:hAnsi="Times New Roman Regular" w:cs="Times New Roman Regular"/>
        </w:rPr>
        <w:t>项、主要污染物减排</w:t>
      </w:r>
      <w:r>
        <w:rPr>
          <w:rFonts w:ascii="Times New Roman Regular" w:hAnsi="Times New Roman Regular" w:cs="Times New Roman Regular"/>
        </w:rPr>
        <w:t>10</w:t>
      </w:r>
      <w:r>
        <w:rPr>
          <w:rFonts w:ascii="Times New Roman Regular" w:hAnsi="Times New Roman Regular" w:cs="Times New Roman Regular"/>
        </w:rPr>
        <w:t>项、生态修复与保护</w:t>
      </w:r>
      <w:r>
        <w:rPr>
          <w:rFonts w:ascii="Times New Roman Regular" w:hAnsi="Times New Roman Regular" w:cs="Times New Roman Regular"/>
        </w:rPr>
        <w:t>5</w:t>
      </w:r>
      <w:r>
        <w:rPr>
          <w:rFonts w:ascii="Times New Roman Regular" w:hAnsi="Times New Roman Regular" w:cs="Times New Roman Regular"/>
        </w:rPr>
        <w:t>项、农村环境综合整治</w:t>
      </w:r>
      <w:r>
        <w:rPr>
          <w:rFonts w:ascii="Times New Roman Regular" w:hAnsi="Times New Roman Regular" w:cs="Times New Roman Regular"/>
        </w:rPr>
        <w:t>7</w:t>
      </w:r>
      <w:r>
        <w:rPr>
          <w:rFonts w:ascii="Times New Roman Regular" w:hAnsi="Times New Roman Regular" w:cs="Times New Roman Regular"/>
        </w:rPr>
        <w:t>项、环境风险防控</w:t>
      </w:r>
      <w:r>
        <w:rPr>
          <w:rFonts w:ascii="Times New Roman Regular" w:hAnsi="Times New Roman Regular" w:cs="Times New Roman Regular"/>
        </w:rPr>
        <w:t>6</w:t>
      </w:r>
      <w:r>
        <w:rPr>
          <w:rFonts w:ascii="Times New Roman Regular" w:hAnsi="Times New Roman Regular" w:cs="Times New Roman Regular"/>
        </w:rPr>
        <w:t>项、固体废物污染防治</w:t>
      </w:r>
      <w:r>
        <w:rPr>
          <w:rFonts w:ascii="Times New Roman Regular" w:hAnsi="Times New Roman Regular" w:cs="Times New Roman Regular"/>
        </w:rPr>
        <w:t>4</w:t>
      </w:r>
      <w:r>
        <w:rPr>
          <w:rFonts w:ascii="Times New Roman Regular" w:hAnsi="Times New Roman Regular" w:cs="Times New Roman Regular"/>
        </w:rPr>
        <w:t>项、环境监管能力建设</w:t>
      </w:r>
      <w:r>
        <w:rPr>
          <w:rFonts w:ascii="Times New Roman Regular" w:hAnsi="Times New Roman Regular" w:cs="Times New Roman Regular"/>
        </w:rPr>
        <w:t>2</w:t>
      </w:r>
      <w:r>
        <w:rPr>
          <w:rFonts w:ascii="Times New Roman Regular" w:hAnsi="Times New Roman Regular" w:cs="Times New Roman Regular"/>
        </w:rPr>
        <w:t>项、环境宣教现代化建</w:t>
      </w:r>
      <w:r w:rsidR="007F2D7A">
        <w:rPr>
          <w:rFonts w:ascii="Times New Roman Regular" w:hAnsi="Times New Roman Regular" w:cs="Times New Roman Regular"/>
        </w:rPr>
        <w:t>设</w:t>
      </w:r>
      <w:r>
        <w:rPr>
          <w:rFonts w:ascii="Times New Roman Regular" w:hAnsi="Times New Roman Regular" w:cs="Times New Roman Regular"/>
        </w:rPr>
        <w:t>1</w:t>
      </w:r>
      <w:r>
        <w:rPr>
          <w:rFonts w:ascii="Times New Roman Regular" w:hAnsi="Times New Roman Regular" w:cs="Times New Roman Regular"/>
        </w:rPr>
        <w:t>项。截止</w:t>
      </w:r>
      <w:r>
        <w:rPr>
          <w:rFonts w:ascii="Times New Roman Regular" w:hAnsi="Times New Roman Regular" w:cs="Times New Roman Regular"/>
        </w:rPr>
        <w:t>2020</w:t>
      </w:r>
      <w:r>
        <w:rPr>
          <w:rFonts w:ascii="Times New Roman Regular" w:hAnsi="Times New Roman Regular" w:cs="Times New Roman Regular"/>
        </w:rPr>
        <w:t>年底，这</w:t>
      </w:r>
      <w:r>
        <w:rPr>
          <w:rFonts w:ascii="Times New Roman Regular" w:hAnsi="Times New Roman Regular" w:cs="Times New Roman Regular"/>
        </w:rPr>
        <w:t>52</w:t>
      </w:r>
      <w:r>
        <w:rPr>
          <w:rFonts w:ascii="Times New Roman Regular" w:hAnsi="Times New Roman Regular" w:cs="Times New Roman Regular"/>
        </w:rPr>
        <w:t>项重点工程项目已完成</w:t>
      </w:r>
      <w:r w:rsidR="009B583E">
        <w:rPr>
          <w:rFonts w:ascii="Times New Roman Regular" w:hAnsi="Times New Roman Regular" w:cs="Times New Roman Regular"/>
        </w:rPr>
        <w:t>43</w:t>
      </w:r>
      <w:r>
        <w:rPr>
          <w:rFonts w:ascii="Times New Roman Regular" w:hAnsi="Times New Roman Regular" w:cs="Times New Roman Regular"/>
        </w:rPr>
        <w:t>项、开展中</w:t>
      </w:r>
      <w:r w:rsidR="009B583E">
        <w:rPr>
          <w:rFonts w:ascii="Times New Roman Regular" w:hAnsi="Times New Roman Regular" w:cs="Times New Roman Regular"/>
        </w:rPr>
        <w:t>4</w:t>
      </w:r>
      <w:r>
        <w:rPr>
          <w:rFonts w:ascii="Times New Roman Regular" w:hAnsi="Times New Roman Regular" w:cs="Times New Roman Regular"/>
        </w:rPr>
        <w:t>项、未开展</w:t>
      </w:r>
      <w:r>
        <w:rPr>
          <w:rFonts w:ascii="Times New Roman Regular" w:hAnsi="Times New Roman Regular" w:cs="Times New Roman Regular"/>
        </w:rPr>
        <w:t>5</w:t>
      </w:r>
      <w:r>
        <w:rPr>
          <w:rFonts w:ascii="Times New Roman Regular" w:hAnsi="Times New Roman Regular" w:cs="Times New Roman Regular"/>
        </w:rPr>
        <w:t>项</w:t>
      </w:r>
      <w:r w:rsidR="009B583E">
        <w:rPr>
          <w:rFonts w:ascii="Times New Roman Regular" w:hAnsi="Times New Roman Regular" w:cs="Times New Roman Regular" w:hint="eastAsia"/>
        </w:rPr>
        <w:t>，</w:t>
      </w:r>
      <w:r w:rsidR="009B583E">
        <w:rPr>
          <w:rFonts w:ascii="Times New Roman Regular" w:hAnsi="Times New Roman Regular" w:cs="Times New Roman Regular"/>
        </w:rPr>
        <w:t>完成投资额</w:t>
      </w:r>
      <w:r w:rsidR="009B583E">
        <w:rPr>
          <w:rFonts w:ascii="Times New Roman Regular" w:hAnsi="Times New Roman Regular" w:cs="Times New Roman Regular" w:hint="eastAsia"/>
        </w:rPr>
        <w:t>7</w:t>
      </w:r>
      <w:r w:rsidR="009B583E">
        <w:rPr>
          <w:rFonts w:ascii="Times New Roman Regular" w:hAnsi="Times New Roman Regular" w:cs="Times New Roman Regular"/>
        </w:rPr>
        <w:t>89719.72</w:t>
      </w:r>
      <w:r w:rsidR="009B583E">
        <w:rPr>
          <w:rFonts w:ascii="Times New Roman Regular" w:hAnsi="Times New Roman Regular" w:cs="Times New Roman Regular"/>
        </w:rPr>
        <w:t>万元</w:t>
      </w:r>
      <w:r w:rsidR="009B583E">
        <w:rPr>
          <w:rFonts w:ascii="Times New Roman Regular" w:hAnsi="Times New Roman Regular" w:cs="Times New Roman Regular" w:hint="eastAsia"/>
        </w:rPr>
        <w:t>。</w:t>
      </w:r>
    </w:p>
    <w:p w:rsidR="00B373FD">
      <w:pPr>
        <w:adjustRightInd w:val="0"/>
        <w:snapToGrid w:val="0"/>
        <w:spacing w:after="156" w:afterLines="50"/>
        <w:jc w:val="center"/>
        <w:rPr>
          <w:rFonts w:ascii="Times New Roman Regular" w:eastAsia="黑体" w:hAnsi="Times New Roman Regular" w:cs="Times New Roman Regular"/>
          <w:sz w:val="28"/>
          <w:szCs w:val="28"/>
        </w:rPr>
      </w:pPr>
      <w:r>
        <w:rPr>
          <w:rFonts w:ascii="Times New Roman Regular" w:eastAsia="黑体" w:hAnsi="Times New Roman Regular" w:cs="Times New Roman Regular"/>
          <w:sz w:val="28"/>
          <w:szCs w:val="28"/>
        </w:rPr>
        <w:t>表</w:t>
      </w:r>
      <w:r>
        <w:rPr>
          <w:rFonts w:ascii="Times New Roman Regular" w:eastAsia="黑体" w:hAnsi="Times New Roman Regular" w:cs="Times New Roman Regular"/>
          <w:sz w:val="28"/>
          <w:szCs w:val="28"/>
        </w:rPr>
        <w:t>3-2 “</w:t>
      </w:r>
      <w:r>
        <w:rPr>
          <w:rFonts w:ascii="Times New Roman Regular" w:eastAsia="黑体" w:hAnsi="Times New Roman Regular" w:cs="Times New Roman Regular"/>
          <w:sz w:val="28"/>
          <w:szCs w:val="28"/>
        </w:rPr>
        <w:t>十三五</w:t>
      </w:r>
      <w:r>
        <w:rPr>
          <w:rFonts w:ascii="Times New Roman Regular" w:eastAsia="黑体" w:hAnsi="Times New Roman Regular" w:cs="Times New Roman Regular"/>
          <w:sz w:val="28"/>
          <w:szCs w:val="28"/>
        </w:rPr>
        <w:t>”</w:t>
      </w:r>
      <w:r>
        <w:rPr>
          <w:rFonts w:ascii="Times New Roman Regular" w:eastAsia="黑体" w:hAnsi="Times New Roman Regular" w:cs="Times New Roman Regular"/>
          <w:sz w:val="28"/>
          <w:szCs w:val="28"/>
        </w:rPr>
        <w:t>重点工程项目完成情况统计表</w:t>
      </w:r>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2"/>
        <w:gridCol w:w="956"/>
        <w:gridCol w:w="956"/>
        <w:gridCol w:w="956"/>
        <w:gridCol w:w="956"/>
        <w:gridCol w:w="1605"/>
        <w:gridCol w:w="774"/>
      </w:tblGrid>
      <w:tr w:rsidTr="00716193">
        <w:tblPrEx>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454"/>
          <w:tblHeader/>
          <w:jc w:val="center"/>
        </w:trPr>
        <w:tc>
          <w:tcPr>
            <w:tcW w:w="2552" w:type="dxa"/>
            <w:vMerge w:val="restart"/>
            <w:vAlign w:val="center"/>
          </w:tcPr>
          <w:p w:rsidR="00B373FD">
            <w:pPr>
              <w:pStyle w:val="-"/>
              <w:adjustRightInd w:val="0"/>
              <w:spacing w:line="240" w:lineRule="auto"/>
              <w:ind w:firstLine="0" w:firstLineChars="0"/>
              <w:jc w:val="center"/>
              <w:rPr>
                <w:rFonts w:ascii="Times New Roman Regular" w:eastAsia="黑体" w:hAnsi="Times New Roman Regular" w:cs="Times New Roman Regular"/>
                <w:sz w:val="24"/>
                <w:szCs w:val="24"/>
              </w:rPr>
            </w:pPr>
            <w:r>
              <w:rPr>
                <w:rFonts w:ascii="Times New Roman Regular" w:eastAsia="黑体" w:hAnsi="Times New Roman Regular" w:cs="Times New Roman Regular"/>
                <w:sz w:val="24"/>
                <w:szCs w:val="24"/>
              </w:rPr>
              <w:t>类别</w:t>
            </w:r>
          </w:p>
        </w:tc>
        <w:tc>
          <w:tcPr>
            <w:tcW w:w="3824" w:type="dxa"/>
            <w:gridSpan w:val="4"/>
            <w:vAlign w:val="center"/>
          </w:tcPr>
          <w:p w:rsidR="00B373FD">
            <w:pPr>
              <w:pStyle w:val="-"/>
              <w:adjustRightInd w:val="0"/>
              <w:spacing w:line="240" w:lineRule="auto"/>
              <w:ind w:firstLine="0" w:firstLineChars="0"/>
              <w:jc w:val="center"/>
              <w:rPr>
                <w:rFonts w:ascii="Times New Roman Regular" w:eastAsia="黑体" w:hAnsi="Times New Roman Regular" w:cs="Times New Roman Regular"/>
                <w:sz w:val="24"/>
                <w:szCs w:val="24"/>
              </w:rPr>
            </w:pPr>
            <w:r>
              <w:rPr>
                <w:rFonts w:ascii="Times New Roman Regular" w:eastAsia="黑体" w:hAnsi="Times New Roman Regular" w:cs="Times New Roman Regular"/>
                <w:sz w:val="24"/>
                <w:szCs w:val="24"/>
              </w:rPr>
              <w:t>项目数</w:t>
            </w:r>
          </w:p>
        </w:tc>
        <w:tc>
          <w:tcPr>
            <w:tcW w:w="1605" w:type="dxa"/>
            <w:vMerge w:val="restart"/>
            <w:vAlign w:val="center"/>
          </w:tcPr>
          <w:p w:rsidR="00B373FD">
            <w:pPr>
              <w:pStyle w:val="-"/>
              <w:adjustRightInd w:val="0"/>
              <w:spacing w:line="240" w:lineRule="auto"/>
              <w:ind w:firstLine="0" w:firstLineChars="0"/>
              <w:jc w:val="center"/>
              <w:rPr>
                <w:rFonts w:ascii="Times New Roman Regular" w:eastAsia="黑体" w:hAnsi="Times New Roman Regular" w:cs="Times New Roman Regular"/>
                <w:sz w:val="24"/>
                <w:szCs w:val="24"/>
              </w:rPr>
            </w:pPr>
            <w:r>
              <w:rPr>
                <w:rFonts w:ascii="Times New Roman Regular" w:eastAsia="黑体" w:hAnsi="Times New Roman Regular" w:cs="Times New Roman Regular"/>
                <w:sz w:val="24"/>
                <w:szCs w:val="24"/>
              </w:rPr>
              <w:t>完成投资额（万元）</w:t>
            </w:r>
          </w:p>
        </w:tc>
        <w:tc>
          <w:tcPr>
            <w:tcW w:w="774" w:type="dxa"/>
            <w:vMerge w:val="restart"/>
            <w:vAlign w:val="center"/>
          </w:tcPr>
          <w:p w:rsidR="00B373FD">
            <w:pPr>
              <w:pStyle w:val="-"/>
              <w:adjustRightInd w:val="0"/>
              <w:spacing w:line="240" w:lineRule="auto"/>
              <w:ind w:firstLine="0" w:firstLineChars="0"/>
              <w:jc w:val="center"/>
              <w:rPr>
                <w:rFonts w:ascii="Times New Roman Regular" w:eastAsia="黑体" w:hAnsi="Times New Roman Regular" w:cs="Times New Roman Regular"/>
                <w:sz w:val="24"/>
                <w:szCs w:val="24"/>
              </w:rPr>
            </w:pPr>
            <w:r>
              <w:rPr>
                <w:rFonts w:ascii="Times New Roman Regular" w:eastAsia="黑体" w:hAnsi="Times New Roman Regular" w:cs="Times New Roman Regular"/>
                <w:sz w:val="24"/>
                <w:szCs w:val="24"/>
              </w:rPr>
              <w:t>备注</w:t>
            </w:r>
          </w:p>
        </w:tc>
      </w:tr>
      <w:tr w:rsidTr="00716193">
        <w:tblPrEx>
          <w:tblW w:w="8755" w:type="dxa"/>
          <w:jc w:val="center"/>
          <w:tblLayout w:type="fixed"/>
          <w:tblLook w:val="04A0"/>
        </w:tblPrEx>
        <w:trPr>
          <w:trHeight w:val="454"/>
          <w:tblHeader/>
          <w:jc w:val="center"/>
        </w:trPr>
        <w:tc>
          <w:tcPr>
            <w:tcW w:w="2552" w:type="dxa"/>
            <w:vMerge/>
            <w:vAlign w:val="center"/>
          </w:tcPr>
          <w:p w:rsidR="00B373FD">
            <w:pPr>
              <w:pStyle w:val="-"/>
              <w:adjustRightInd w:val="0"/>
              <w:spacing w:line="240" w:lineRule="auto"/>
              <w:ind w:firstLine="0" w:firstLineChars="0"/>
              <w:jc w:val="center"/>
              <w:rPr>
                <w:rFonts w:ascii="Times New Roman Regular" w:eastAsia="黑体" w:hAnsi="Times New Roman Regular" w:cs="Times New Roman Regular"/>
                <w:sz w:val="24"/>
                <w:szCs w:val="24"/>
              </w:rPr>
            </w:pPr>
          </w:p>
        </w:tc>
        <w:tc>
          <w:tcPr>
            <w:tcW w:w="956" w:type="dxa"/>
            <w:vAlign w:val="center"/>
          </w:tcPr>
          <w:p w:rsidR="00B373FD">
            <w:pPr>
              <w:pStyle w:val="-"/>
              <w:adjustRightInd w:val="0"/>
              <w:spacing w:line="240" w:lineRule="auto"/>
              <w:ind w:firstLine="0" w:firstLineChars="0"/>
              <w:jc w:val="center"/>
              <w:rPr>
                <w:rFonts w:ascii="Times New Roman Regular" w:eastAsia="黑体" w:hAnsi="Times New Roman Regular" w:cs="Times New Roman Regular"/>
                <w:sz w:val="24"/>
                <w:szCs w:val="24"/>
              </w:rPr>
            </w:pPr>
            <w:r>
              <w:rPr>
                <w:rFonts w:ascii="Times New Roman Regular" w:eastAsia="黑体" w:hAnsi="Times New Roman Regular" w:cs="Times New Roman Regular"/>
                <w:sz w:val="24"/>
                <w:szCs w:val="24"/>
              </w:rPr>
              <w:t>总数</w:t>
            </w:r>
          </w:p>
        </w:tc>
        <w:tc>
          <w:tcPr>
            <w:tcW w:w="956" w:type="dxa"/>
            <w:vAlign w:val="center"/>
          </w:tcPr>
          <w:p w:rsidR="00B373FD">
            <w:pPr>
              <w:pStyle w:val="-"/>
              <w:adjustRightInd w:val="0"/>
              <w:spacing w:line="240" w:lineRule="auto"/>
              <w:ind w:firstLine="0" w:firstLineChars="0"/>
              <w:jc w:val="center"/>
              <w:rPr>
                <w:rFonts w:ascii="Times New Roman Regular" w:eastAsia="黑体" w:hAnsi="Times New Roman Regular" w:cs="Times New Roman Regular"/>
                <w:sz w:val="24"/>
                <w:szCs w:val="24"/>
              </w:rPr>
            </w:pPr>
            <w:r>
              <w:rPr>
                <w:rFonts w:ascii="Times New Roman Regular" w:eastAsia="黑体" w:hAnsi="Times New Roman Regular" w:cs="Times New Roman Regular"/>
                <w:sz w:val="24"/>
                <w:szCs w:val="24"/>
              </w:rPr>
              <w:t>已完成</w:t>
            </w:r>
          </w:p>
        </w:tc>
        <w:tc>
          <w:tcPr>
            <w:tcW w:w="956" w:type="dxa"/>
            <w:vAlign w:val="center"/>
          </w:tcPr>
          <w:p w:rsidR="00B373FD">
            <w:pPr>
              <w:pStyle w:val="-"/>
              <w:adjustRightInd w:val="0"/>
              <w:spacing w:line="240" w:lineRule="auto"/>
              <w:ind w:firstLine="0" w:firstLineChars="0"/>
              <w:jc w:val="center"/>
              <w:rPr>
                <w:rFonts w:ascii="Times New Roman Regular" w:eastAsia="黑体" w:hAnsi="Times New Roman Regular" w:cs="Times New Roman Regular"/>
                <w:sz w:val="24"/>
                <w:szCs w:val="24"/>
              </w:rPr>
            </w:pPr>
            <w:r>
              <w:rPr>
                <w:rFonts w:ascii="Times New Roman Regular" w:eastAsia="黑体" w:hAnsi="Times New Roman Regular" w:cs="Times New Roman Regular"/>
                <w:sz w:val="24"/>
                <w:szCs w:val="24"/>
              </w:rPr>
              <w:t>开展中</w:t>
            </w:r>
          </w:p>
        </w:tc>
        <w:tc>
          <w:tcPr>
            <w:tcW w:w="956" w:type="dxa"/>
            <w:vAlign w:val="center"/>
          </w:tcPr>
          <w:p w:rsidR="00B373FD">
            <w:pPr>
              <w:pStyle w:val="-"/>
              <w:adjustRightInd w:val="0"/>
              <w:spacing w:line="240" w:lineRule="auto"/>
              <w:ind w:firstLine="0" w:firstLineChars="0"/>
              <w:jc w:val="center"/>
              <w:rPr>
                <w:rFonts w:ascii="Times New Roman Regular" w:eastAsia="黑体" w:hAnsi="Times New Roman Regular" w:cs="Times New Roman Regular"/>
                <w:sz w:val="24"/>
                <w:szCs w:val="24"/>
              </w:rPr>
            </w:pPr>
            <w:r>
              <w:rPr>
                <w:rFonts w:ascii="Times New Roman Regular" w:eastAsia="黑体" w:hAnsi="Times New Roman Regular" w:cs="Times New Roman Regular"/>
                <w:sz w:val="24"/>
                <w:szCs w:val="24"/>
              </w:rPr>
              <w:t>未开展</w:t>
            </w:r>
          </w:p>
        </w:tc>
        <w:tc>
          <w:tcPr>
            <w:tcW w:w="1605" w:type="dxa"/>
            <w:vMerge/>
            <w:vAlign w:val="center"/>
          </w:tcPr>
          <w:p w:rsidR="00B373FD">
            <w:pPr>
              <w:pStyle w:val="-"/>
              <w:adjustRightInd w:val="0"/>
              <w:spacing w:line="240" w:lineRule="auto"/>
              <w:ind w:firstLine="0" w:firstLineChars="0"/>
              <w:jc w:val="center"/>
              <w:rPr>
                <w:rFonts w:ascii="Times New Roman Regular" w:eastAsia="黑体" w:hAnsi="Times New Roman Regular" w:cs="Times New Roman Regular"/>
                <w:sz w:val="24"/>
                <w:szCs w:val="24"/>
              </w:rPr>
            </w:pPr>
          </w:p>
        </w:tc>
        <w:tc>
          <w:tcPr>
            <w:tcW w:w="774" w:type="dxa"/>
            <w:vMerge/>
            <w:vAlign w:val="center"/>
          </w:tcPr>
          <w:p w:rsidR="00B373FD">
            <w:pPr>
              <w:pStyle w:val="-"/>
              <w:adjustRightInd w:val="0"/>
              <w:spacing w:line="240" w:lineRule="auto"/>
              <w:ind w:firstLine="0" w:firstLineChars="0"/>
              <w:jc w:val="center"/>
              <w:rPr>
                <w:rFonts w:ascii="Times New Roman Regular" w:eastAsia="黑体" w:hAnsi="Times New Roman Regular" w:cs="Times New Roman Regular"/>
                <w:sz w:val="24"/>
                <w:szCs w:val="24"/>
              </w:rPr>
            </w:pPr>
          </w:p>
        </w:tc>
      </w:tr>
      <w:tr w:rsidTr="00716193">
        <w:tblPrEx>
          <w:tblW w:w="8755" w:type="dxa"/>
          <w:jc w:val="center"/>
          <w:tblLayout w:type="fixed"/>
          <w:tblLook w:val="04A0"/>
        </w:tblPrEx>
        <w:trPr>
          <w:trHeight w:hRule="exact" w:val="510"/>
          <w:jc w:val="center"/>
        </w:trPr>
        <w:tc>
          <w:tcPr>
            <w:tcW w:w="2552" w:type="dxa"/>
            <w:vAlign w:val="center"/>
          </w:tcPr>
          <w:p w:rsidR="00B373FD">
            <w:pPr>
              <w:snapToGrid w:val="0"/>
              <w:jc w:val="center"/>
              <w:rPr>
                <w:rFonts w:ascii="Times New Roman Regular" w:eastAsia="宋体" w:hAnsi="Times New Roman Regular" w:cs="Times New Roman Regular"/>
                <w:sz w:val="24"/>
                <w:szCs w:val="24"/>
              </w:rPr>
            </w:pPr>
            <w:r>
              <w:rPr>
                <w:rFonts w:ascii="Times New Roman Regular" w:eastAsia="宋体" w:hAnsi="Times New Roman Regular" w:cs="Times New Roman Regular"/>
                <w:sz w:val="24"/>
                <w:szCs w:val="24"/>
              </w:rPr>
              <w:t>水环境保护</w:t>
            </w:r>
          </w:p>
        </w:tc>
        <w:tc>
          <w:tcPr>
            <w:tcW w:w="956" w:type="dxa"/>
            <w:vAlign w:val="center"/>
          </w:tcPr>
          <w:p w:rsidR="00B373FD">
            <w:pPr>
              <w:pStyle w:val="-"/>
              <w:adjustRightInd w:val="0"/>
              <w:spacing w:line="240" w:lineRule="auto"/>
              <w:ind w:firstLine="0" w:firstLineChars="0"/>
              <w:jc w:val="center"/>
              <w:rPr>
                <w:rFonts w:ascii="Times New Roman Regular" w:eastAsia="宋体" w:hAnsi="Times New Roman Regular" w:cs="Times New Roman Regular"/>
                <w:sz w:val="24"/>
                <w:szCs w:val="24"/>
              </w:rPr>
            </w:pPr>
            <w:r>
              <w:rPr>
                <w:rFonts w:ascii="Times New Roman Regular" w:eastAsia="宋体" w:hAnsi="Times New Roman Regular" w:cs="Times New Roman Regular"/>
                <w:sz w:val="24"/>
                <w:szCs w:val="24"/>
              </w:rPr>
              <w:t>9</w:t>
            </w:r>
          </w:p>
        </w:tc>
        <w:tc>
          <w:tcPr>
            <w:tcW w:w="956" w:type="dxa"/>
            <w:vAlign w:val="center"/>
          </w:tcPr>
          <w:p w:rsidR="00B373FD">
            <w:pPr>
              <w:pStyle w:val="-"/>
              <w:adjustRightInd w:val="0"/>
              <w:spacing w:line="240" w:lineRule="auto"/>
              <w:ind w:firstLine="0" w:firstLineChars="0"/>
              <w:jc w:val="center"/>
              <w:rPr>
                <w:rFonts w:ascii="Times New Roman Regular" w:eastAsia="宋体" w:hAnsi="Times New Roman Regular" w:cs="Times New Roman Regular"/>
                <w:sz w:val="24"/>
                <w:szCs w:val="24"/>
              </w:rPr>
            </w:pPr>
            <w:r>
              <w:rPr>
                <w:rFonts w:ascii="Times New Roman Regular" w:eastAsia="宋体" w:hAnsi="Times New Roman Regular" w:cs="Times New Roman Regular"/>
                <w:sz w:val="24"/>
                <w:szCs w:val="24"/>
              </w:rPr>
              <w:t>5</w:t>
            </w:r>
          </w:p>
        </w:tc>
        <w:tc>
          <w:tcPr>
            <w:tcW w:w="956" w:type="dxa"/>
            <w:vAlign w:val="center"/>
          </w:tcPr>
          <w:p w:rsidR="00B373FD">
            <w:pPr>
              <w:pStyle w:val="-"/>
              <w:adjustRightInd w:val="0"/>
              <w:spacing w:line="240" w:lineRule="auto"/>
              <w:ind w:firstLine="0" w:firstLineChars="0"/>
              <w:jc w:val="center"/>
              <w:rPr>
                <w:rFonts w:ascii="Times New Roman Regular" w:eastAsia="宋体" w:hAnsi="Times New Roman Regular" w:cs="Times New Roman Regular"/>
                <w:sz w:val="24"/>
                <w:szCs w:val="24"/>
              </w:rPr>
            </w:pPr>
            <w:r>
              <w:rPr>
                <w:rFonts w:ascii="Times New Roman Regular" w:eastAsia="宋体" w:hAnsi="Times New Roman Regular" w:cs="Times New Roman Regular"/>
                <w:sz w:val="24"/>
                <w:szCs w:val="24"/>
              </w:rPr>
              <w:t>2</w:t>
            </w:r>
          </w:p>
        </w:tc>
        <w:tc>
          <w:tcPr>
            <w:tcW w:w="956" w:type="dxa"/>
            <w:vAlign w:val="center"/>
          </w:tcPr>
          <w:p w:rsidR="00B373FD">
            <w:pPr>
              <w:pStyle w:val="-"/>
              <w:adjustRightInd w:val="0"/>
              <w:spacing w:line="240" w:lineRule="auto"/>
              <w:ind w:firstLine="0" w:firstLineChars="0"/>
              <w:jc w:val="center"/>
              <w:rPr>
                <w:rFonts w:ascii="Times New Roman Regular" w:eastAsia="宋体" w:hAnsi="Times New Roman Regular" w:cs="Times New Roman Regular"/>
                <w:sz w:val="24"/>
                <w:szCs w:val="24"/>
              </w:rPr>
            </w:pPr>
            <w:r>
              <w:rPr>
                <w:rFonts w:ascii="Times New Roman Regular" w:eastAsia="宋体" w:hAnsi="Times New Roman Regular" w:cs="Times New Roman Regular"/>
                <w:sz w:val="24"/>
                <w:szCs w:val="24"/>
              </w:rPr>
              <w:t>2</w:t>
            </w:r>
          </w:p>
        </w:tc>
        <w:tc>
          <w:tcPr>
            <w:tcW w:w="1605" w:type="dxa"/>
            <w:vAlign w:val="center"/>
          </w:tcPr>
          <w:p w:rsidR="00B373FD" w:rsidP="00D317A1">
            <w:pPr>
              <w:pStyle w:val="-"/>
              <w:adjustRightInd w:val="0"/>
              <w:spacing w:line="240" w:lineRule="auto"/>
              <w:ind w:firstLine="0" w:firstLineChars="0"/>
              <w:jc w:val="center"/>
              <w:rPr>
                <w:rFonts w:ascii="Times New Roman Regular" w:eastAsia="宋体" w:hAnsi="Times New Roman Regular" w:cs="Times New Roman Regular"/>
                <w:sz w:val="24"/>
                <w:szCs w:val="24"/>
              </w:rPr>
            </w:pPr>
            <w:r>
              <w:rPr>
                <w:rFonts w:ascii="Times New Roman Regular" w:eastAsia="宋体" w:hAnsi="Times New Roman Regular" w:cs="Times New Roman Regular"/>
                <w:sz w:val="24"/>
                <w:szCs w:val="24"/>
              </w:rPr>
              <w:t>132600</w:t>
            </w:r>
          </w:p>
        </w:tc>
        <w:tc>
          <w:tcPr>
            <w:tcW w:w="774" w:type="dxa"/>
            <w:vAlign w:val="center"/>
          </w:tcPr>
          <w:p w:rsidR="00B373FD">
            <w:pPr>
              <w:pStyle w:val="-"/>
              <w:adjustRightInd w:val="0"/>
              <w:spacing w:line="240" w:lineRule="auto"/>
              <w:ind w:firstLine="0" w:firstLineChars="0"/>
              <w:jc w:val="center"/>
              <w:rPr>
                <w:rFonts w:ascii="Times New Roman Regular" w:eastAsia="宋体" w:hAnsi="Times New Roman Regular" w:cs="Times New Roman Regular"/>
                <w:sz w:val="24"/>
                <w:szCs w:val="24"/>
              </w:rPr>
            </w:pPr>
          </w:p>
        </w:tc>
      </w:tr>
      <w:tr w:rsidTr="00716193">
        <w:tblPrEx>
          <w:tblW w:w="8755" w:type="dxa"/>
          <w:jc w:val="center"/>
          <w:tblLayout w:type="fixed"/>
          <w:tblLook w:val="04A0"/>
        </w:tblPrEx>
        <w:trPr>
          <w:trHeight w:hRule="exact" w:val="510"/>
          <w:jc w:val="center"/>
        </w:trPr>
        <w:tc>
          <w:tcPr>
            <w:tcW w:w="2552" w:type="dxa"/>
            <w:vAlign w:val="center"/>
          </w:tcPr>
          <w:p w:rsidR="00B373FD">
            <w:pPr>
              <w:snapToGrid w:val="0"/>
              <w:jc w:val="center"/>
              <w:rPr>
                <w:rFonts w:ascii="Times New Roman Regular" w:eastAsia="宋体" w:hAnsi="Times New Roman Regular" w:cs="Times New Roman Regular"/>
                <w:sz w:val="24"/>
                <w:szCs w:val="24"/>
              </w:rPr>
            </w:pPr>
            <w:r>
              <w:rPr>
                <w:rFonts w:ascii="Times New Roman Regular" w:eastAsia="宋体" w:hAnsi="Times New Roman Regular" w:cs="Times New Roman Regular"/>
                <w:sz w:val="24"/>
                <w:szCs w:val="24"/>
              </w:rPr>
              <w:t>大气环境保护</w:t>
            </w:r>
          </w:p>
        </w:tc>
        <w:tc>
          <w:tcPr>
            <w:tcW w:w="956" w:type="dxa"/>
            <w:vAlign w:val="center"/>
          </w:tcPr>
          <w:p w:rsidR="00B373FD">
            <w:pPr>
              <w:pStyle w:val="-"/>
              <w:adjustRightInd w:val="0"/>
              <w:spacing w:line="240" w:lineRule="auto"/>
              <w:ind w:firstLine="0" w:firstLineChars="0"/>
              <w:jc w:val="center"/>
              <w:rPr>
                <w:rFonts w:ascii="Times New Roman Regular" w:eastAsia="宋体" w:hAnsi="Times New Roman Regular" w:cs="Times New Roman Regular"/>
                <w:sz w:val="24"/>
                <w:szCs w:val="24"/>
              </w:rPr>
            </w:pPr>
            <w:r>
              <w:rPr>
                <w:rFonts w:ascii="Times New Roman Regular" w:eastAsia="宋体" w:hAnsi="Times New Roman Regular" w:cs="Times New Roman Regular"/>
                <w:sz w:val="24"/>
                <w:szCs w:val="24"/>
              </w:rPr>
              <w:t>5</w:t>
            </w:r>
          </w:p>
        </w:tc>
        <w:tc>
          <w:tcPr>
            <w:tcW w:w="956" w:type="dxa"/>
            <w:vAlign w:val="center"/>
          </w:tcPr>
          <w:p w:rsidR="00B373FD">
            <w:pPr>
              <w:pStyle w:val="-"/>
              <w:adjustRightInd w:val="0"/>
              <w:spacing w:line="240" w:lineRule="auto"/>
              <w:ind w:firstLine="0" w:firstLineChars="0"/>
              <w:jc w:val="center"/>
              <w:rPr>
                <w:rFonts w:ascii="Times New Roman Regular" w:eastAsia="宋体" w:hAnsi="Times New Roman Regular" w:cs="Times New Roman Regular"/>
                <w:sz w:val="24"/>
                <w:szCs w:val="24"/>
              </w:rPr>
            </w:pPr>
            <w:r>
              <w:rPr>
                <w:rFonts w:ascii="Times New Roman Regular" w:eastAsia="宋体" w:hAnsi="Times New Roman Regular" w:cs="Times New Roman Regular"/>
                <w:sz w:val="24"/>
                <w:szCs w:val="24"/>
              </w:rPr>
              <w:t>5</w:t>
            </w:r>
          </w:p>
        </w:tc>
        <w:tc>
          <w:tcPr>
            <w:tcW w:w="956" w:type="dxa"/>
            <w:vAlign w:val="center"/>
          </w:tcPr>
          <w:p w:rsidR="00B373FD">
            <w:pPr>
              <w:pStyle w:val="-"/>
              <w:adjustRightInd w:val="0"/>
              <w:spacing w:line="240" w:lineRule="auto"/>
              <w:ind w:firstLine="0" w:firstLineChars="0"/>
              <w:jc w:val="center"/>
              <w:rPr>
                <w:rFonts w:ascii="Times New Roman Regular" w:eastAsia="宋体" w:hAnsi="Times New Roman Regular" w:cs="Times New Roman Regular"/>
                <w:sz w:val="24"/>
                <w:szCs w:val="24"/>
              </w:rPr>
            </w:pPr>
            <w:r>
              <w:rPr>
                <w:rFonts w:ascii="Times New Roman Regular" w:eastAsia="宋体" w:hAnsi="Times New Roman Regular" w:cs="Times New Roman Regular"/>
                <w:sz w:val="24"/>
                <w:szCs w:val="24"/>
              </w:rPr>
              <w:t>0</w:t>
            </w:r>
          </w:p>
        </w:tc>
        <w:tc>
          <w:tcPr>
            <w:tcW w:w="956" w:type="dxa"/>
            <w:vAlign w:val="center"/>
          </w:tcPr>
          <w:p w:rsidR="00B373FD">
            <w:pPr>
              <w:pStyle w:val="-"/>
              <w:adjustRightInd w:val="0"/>
              <w:spacing w:line="240" w:lineRule="auto"/>
              <w:ind w:firstLine="0" w:firstLineChars="0"/>
              <w:jc w:val="center"/>
              <w:rPr>
                <w:rFonts w:ascii="Times New Roman Regular" w:eastAsia="宋体" w:hAnsi="Times New Roman Regular" w:cs="Times New Roman Regular"/>
                <w:sz w:val="24"/>
                <w:szCs w:val="24"/>
              </w:rPr>
            </w:pPr>
            <w:r>
              <w:rPr>
                <w:rFonts w:ascii="Times New Roman Regular" w:eastAsia="宋体" w:hAnsi="Times New Roman Regular" w:cs="Times New Roman Regular"/>
                <w:sz w:val="24"/>
                <w:szCs w:val="24"/>
              </w:rPr>
              <w:t>0</w:t>
            </w:r>
          </w:p>
        </w:tc>
        <w:tc>
          <w:tcPr>
            <w:tcW w:w="1605" w:type="dxa"/>
            <w:vAlign w:val="center"/>
          </w:tcPr>
          <w:p w:rsidR="00B373FD">
            <w:pPr>
              <w:pStyle w:val="-"/>
              <w:adjustRightInd w:val="0"/>
              <w:spacing w:line="240" w:lineRule="auto"/>
              <w:ind w:firstLine="0" w:firstLineChars="0"/>
              <w:jc w:val="center"/>
              <w:rPr>
                <w:rFonts w:ascii="Times New Roman Regular" w:eastAsia="宋体" w:hAnsi="Times New Roman Regular" w:cs="Times New Roman Regular"/>
                <w:sz w:val="24"/>
                <w:szCs w:val="24"/>
              </w:rPr>
            </w:pPr>
            <w:r>
              <w:rPr>
                <w:rFonts w:ascii="Times New Roman Regular" w:eastAsia="宋体" w:hAnsi="Times New Roman Regular" w:cs="Times New Roman Regular"/>
                <w:sz w:val="24"/>
                <w:szCs w:val="24"/>
              </w:rPr>
              <w:t>52064</w:t>
            </w:r>
          </w:p>
        </w:tc>
        <w:tc>
          <w:tcPr>
            <w:tcW w:w="774" w:type="dxa"/>
            <w:vAlign w:val="center"/>
          </w:tcPr>
          <w:p w:rsidR="00B373FD">
            <w:pPr>
              <w:pStyle w:val="-"/>
              <w:adjustRightInd w:val="0"/>
              <w:spacing w:line="240" w:lineRule="auto"/>
              <w:ind w:firstLine="0" w:firstLineChars="0"/>
              <w:jc w:val="center"/>
              <w:rPr>
                <w:rFonts w:ascii="Times New Roman Regular" w:eastAsia="宋体" w:hAnsi="Times New Roman Regular" w:cs="Times New Roman Regular"/>
                <w:sz w:val="24"/>
                <w:szCs w:val="24"/>
              </w:rPr>
            </w:pPr>
          </w:p>
        </w:tc>
      </w:tr>
      <w:tr w:rsidTr="00716193">
        <w:tblPrEx>
          <w:tblW w:w="8755" w:type="dxa"/>
          <w:jc w:val="center"/>
          <w:tblLayout w:type="fixed"/>
          <w:tblLook w:val="04A0"/>
        </w:tblPrEx>
        <w:trPr>
          <w:trHeight w:hRule="exact" w:val="510"/>
          <w:jc w:val="center"/>
        </w:trPr>
        <w:tc>
          <w:tcPr>
            <w:tcW w:w="2552" w:type="dxa"/>
            <w:vAlign w:val="center"/>
          </w:tcPr>
          <w:p w:rsidR="00B373FD">
            <w:pPr>
              <w:snapToGrid w:val="0"/>
              <w:jc w:val="center"/>
              <w:rPr>
                <w:rFonts w:ascii="Times New Roman Regular" w:eastAsia="宋体" w:hAnsi="Times New Roman Regular" w:cs="Times New Roman Regular"/>
                <w:sz w:val="24"/>
                <w:szCs w:val="24"/>
              </w:rPr>
            </w:pPr>
            <w:r>
              <w:rPr>
                <w:rFonts w:ascii="Times New Roman Regular" w:eastAsia="宋体" w:hAnsi="Times New Roman Regular" w:cs="Times New Roman Regular"/>
                <w:sz w:val="24"/>
                <w:szCs w:val="24"/>
              </w:rPr>
              <w:t>土壤污染防治</w:t>
            </w:r>
          </w:p>
        </w:tc>
        <w:tc>
          <w:tcPr>
            <w:tcW w:w="956" w:type="dxa"/>
            <w:vAlign w:val="center"/>
          </w:tcPr>
          <w:p w:rsidR="00B373FD">
            <w:pPr>
              <w:pStyle w:val="-"/>
              <w:adjustRightInd w:val="0"/>
              <w:spacing w:line="240" w:lineRule="auto"/>
              <w:ind w:firstLine="0" w:firstLineChars="0"/>
              <w:jc w:val="center"/>
              <w:rPr>
                <w:rFonts w:ascii="Times New Roman Regular" w:eastAsia="宋体" w:hAnsi="Times New Roman Regular" w:cs="Times New Roman Regular"/>
                <w:sz w:val="24"/>
                <w:szCs w:val="24"/>
              </w:rPr>
            </w:pPr>
            <w:r>
              <w:rPr>
                <w:rFonts w:ascii="Times New Roman Regular" w:eastAsia="宋体" w:hAnsi="Times New Roman Regular" w:cs="Times New Roman Regular"/>
                <w:sz w:val="24"/>
                <w:szCs w:val="24"/>
              </w:rPr>
              <w:t>3</w:t>
            </w:r>
          </w:p>
        </w:tc>
        <w:tc>
          <w:tcPr>
            <w:tcW w:w="956" w:type="dxa"/>
            <w:vAlign w:val="center"/>
          </w:tcPr>
          <w:p w:rsidR="00B373FD">
            <w:pPr>
              <w:pStyle w:val="-"/>
              <w:adjustRightInd w:val="0"/>
              <w:spacing w:line="240" w:lineRule="auto"/>
              <w:ind w:firstLine="0" w:firstLineChars="0"/>
              <w:jc w:val="center"/>
              <w:rPr>
                <w:rFonts w:ascii="Times New Roman Regular" w:eastAsia="宋体" w:hAnsi="Times New Roman Regular" w:cs="Times New Roman Regular"/>
                <w:sz w:val="24"/>
                <w:szCs w:val="24"/>
              </w:rPr>
            </w:pPr>
            <w:r>
              <w:rPr>
                <w:rFonts w:ascii="Times New Roman Regular" w:eastAsia="宋体" w:hAnsi="Times New Roman Regular" w:cs="Times New Roman Regular"/>
                <w:sz w:val="24"/>
                <w:szCs w:val="24"/>
              </w:rPr>
              <w:t>1</w:t>
            </w:r>
          </w:p>
        </w:tc>
        <w:tc>
          <w:tcPr>
            <w:tcW w:w="956" w:type="dxa"/>
            <w:vAlign w:val="center"/>
          </w:tcPr>
          <w:p w:rsidR="00B373FD">
            <w:pPr>
              <w:pStyle w:val="-"/>
              <w:adjustRightInd w:val="0"/>
              <w:spacing w:line="240" w:lineRule="auto"/>
              <w:ind w:firstLine="0" w:firstLineChars="0"/>
              <w:jc w:val="center"/>
              <w:rPr>
                <w:rFonts w:ascii="Times New Roman Regular" w:eastAsia="宋体" w:hAnsi="Times New Roman Regular" w:cs="Times New Roman Regular"/>
                <w:sz w:val="24"/>
                <w:szCs w:val="24"/>
              </w:rPr>
            </w:pPr>
            <w:r>
              <w:rPr>
                <w:rFonts w:ascii="Times New Roman Regular" w:eastAsia="宋体" w:hAnsi="Times New Roman Regular" w:cs="Times New Roman Regular"/>
                <w:sz w:val="24"/>
                <w:szCs w:val="24"/>
              </w:rPr>
              <w:t>1</w:t>
            </w:r>
          </w:p>
        </w:tc>
        <w:tc>
          <w:tcPr>
            <w:tcW w:w="956" w:type="dxa"/>
            <w:vAlign w:val="center"/>
          </w:tcPr>
          <w:p w:rsidR="00B373FD">
            <w:pPr>
              <w:pStyle w:val="-"/>
              <w:adjustRightInd w:val="0"/>
              <w:spacing w:line="240" w:lineRule="auto"/>
              <w:ind w:firstLine="0" w:firstLineChars="0"/>
              <w:jc w:val="center"/>
              <w:rPr>
                <w:rFonts w:ascii="Times New Roman Regular" w:eastAsia="宋体" w:hAnsi="Times New Roman Regular" w:cs="Times New Roman Regular"/>
                <w:sz w:val="24"/>
                <w:szCs w:val="24"/>
              </w:rPr>
            </w:pPr>
            <w:r>
              <w:rPr>
                <w:rFonts w:ascii="Times New Roman Regular" w:eastAsia="宋体" w:hAnsi="Times New Roman Regular" w:cs="Times New Roman Regular"/>
                <w:sz w:val="24"/>
                <w:szCs w:val="24"/>
              </w:rPr>
              <w:t>1</w:t>
            </w:r>
          </w:p>
        </w:tc>
        <w:tc>
          <w:tcPr>
            <w:tcW w:w="1605" w:type="dxa"/>
            <w:vAlign w:val="center"/>
          </w:tcPr>
          <w:p w:rsidR="00B373FD" w:rsidP="00D317A1">
            <w:pPr>
              <w:pStyle w:val="-"/>
              <w:adjustRightInd w:val="0"/>
              <w:spacing w:line="240" w:lineRule="auto"/>
              <w:ind w:firstLine="0" w:firstLineChars="0"/>
              <w:jc w:val="center"/>
              <w:rPr>
                <w:rFonts w:ascii="Times New Roman Regular" w:eastAsia="宋体" w:hAnsi="Times New Roman Regular" w:cs="Times New Roman Regular"/>
                <w:sz w:val="24"/>
                <w:szCs w:val="24"/>
              </w:rPr>
            </w:pPr>
            <w:r>
              <w:rPr>
                <w:rFonts w:ascii="Times New Roman Regular" w:eastAsia="宋体" w:hAnsi="Times New Roman Regular" w:cs="Times New Roman Regular"/>
                <w:sz w:val="24"/>
                <w:szCs w:val="24"/>
              </w:rPr>
              <w:t>37098.65</w:t>
            </w:r>
          </w:p>
        </w:tc>
        <w:tc>
          <w:tcPr>
            <w:tcW w:w="774" w:type="dxa"/>
            <w:vAlign w:val="center"/>
          </w:tcPr>
          <w:p w:rsidR="00B373FD">
            <w:pPr>
              <w:pStyle w:val="-"/>
              <w:adjustRightInd w:val="0"/>
              <w:spacing w:line="240" w:lineRule="auto"/>
              <w:ind w:firstLine="0" w:firstLineChars="0"/>
              <w:jc w:val="center"/>
              <w:rPr>
                <w:rFonts w:ascii="Times New Roman Regular" w:eastAsia="宋体" w:hAnsi="Times New Roman Regular" w:cs="Times New Roman Regular"/>
                <w:sz w:val="24"/>
                <w:szCs w:val="24"/>
              </w:rPr>
            </w:pPr>
          </w:p>
        </w:tc>
      </w:tr>
      <w:tr w:rsidTr="00716193">
        <w:tblPrEx>
          <w:tblW w:w="8755" w:type="dxa"/>
          <w:jc w:val="center"/>
          <w:tblLayout w:type="fixed"/>
          <w:tblLook w:val="04A0"/>
        </w:tblPrEx>
        <w:trPr>
          <w:trHeight w:hRule="exact" w:val="510"/>
          <w:jc w:val="center"/>
        </w:trPr>
        <w:tc>
          <w:tcPr>
            <w:tcW w:w="2552" w:type="dxa"/>
            <w:vAlign w:val="center"/>
          </w:tcPr>
          <w:p w:rsidR="00B373FD">
            <w:pPr>
              <w:snapToGrid w:val="0"/>
              <w:jc w:val="center"/>
              <w:rPr>
                <w:rFonts w:ascii="Times New Roman Regular" w:eastAsia="宋体" w:hAnsi="Times New Roman Regular" w:cs="Times New Roman Regular"/>
                <w:sz w:val="24"/>
                <w:szCs w:val="24"/>
              </w:rPr>
            </w:pPr>
            <w:r>
              <w:rPr>
                <w:rFonts w:ascii="Times New Roman Regular" w:eastAsia="宋体" w:hAnsi="Times New Roman Regular" w:cs="Times New Roman Regular"/>
                <w:sz w:val="24"/>
                <w:szCs w:val="24"/>
              </w:rPr>
              <w:t>主要污染物减排</w:t>
            </w:r>
          </w:p>
        </w:tc>
        <w:tc>
          <w:tcPr>
            <w:tcW w:w="956" w:type="dxa"/>
            <w:vAlign w:val="center"/>
          </w:tcPr>
          <w:p w:rsidR="00B373FD">
            <w:pPr>
              <w:pStyle w:val="-"/>
              <w:adjustRightInd w:val="0"/>
              <w:spacing w:line="240" w:lineRule="auto"/>
              <w:ind w:firstLine="0" w:firstLineChars="0"/>
              <w:jc w:val="center"/>
              <w:rPr>
                <w:rFonts w:ascii="Times New Roman Regular" w:eastAsia="宋体" w:hAnsi="Times New Roman Regular" w:cs="Times New Roman Regular"/>
                <w:sz w:val="24"/>
                <w:szCs w:val="24"/>
              </w:rPr>
            </w:pPr>
            <w:r>
              <w:rPr>
                <w:rFonts w:ascii="Times New Roman Regular" w:eastAsia="宋体" w:hAnsi="Times New Roman Regular" w:cs="Times New Roman Regular"/>
                <w:sz w:val="24"/>
                <w:szCs w:val="24"/>
              </w:rPr>
              <w:t>10</w:t>
            </w:r>
          </w:p>
        </w:tc>
        <w:tc>
          <w:tcPr>
            <w:tcW w:w="956" w:type="dxa"/>
            <w:vAlign w:val="center"/>
          </w:tcPr>
          <w:p w:rsidR="00B373FD">
            <w:pPr>
              <w:pStyle w:val="-"/>
              <w:adjustRightInd w:val="0"/>
              <w:spacing w:line="240" w:lineRule="auto"/>
              <w:ind w:firstLine="0" w:firstLineChars="0"/>
              <w:jc w:val="center"/>
              <w:rPr>
                <w:rFonts w:ascii="Times New Roman Regular" w:eastAsia="宋体" w:hAnsi="Times New Roman Regular" w:cs="Times New Roman Regular"/>
                <w:sz w:val="24"/>
                <w:szCs w:val="24"/>
              </w:rPr>
            </w:pPr>
            <w:r>
              <w:rPr>
                <w:rFonts w:ascii="Times New Roman Regular" w:eastAsia="宋体" w:hAnsi="Times New Roman Regular" w:cs="Times New Roman Regular"/>
                <w:sz w:val="24"/>
                <w:szCs w:val="24"/>
              </w:rPr>
              <w:t>9</w:t>
            </w:r>
          </w:p>
        </w:tc>
        <w:tc>
          <w:tcPr>
            <w:tcW w:w="956" w:type="dxa"/>
            <w:vAlign w:val="center"/>
          </w:tcPr>
          <w:p w:rsidR="00B373FD">
            <w:pPr>
              <w:pStyle w:val="-"/>
              <w:adjustRightInd w:val="0"/>
              <w:spacing w:line="240" w:lineRule="auto"/>
              <w:ind w:firstLine="0" w:firstLineChars="0"/>
              <w:jc w:val="center"/>
              <w:rPr>
                <w:rFonts w:ascii="Times New Roman Regular" w:eastAsia="宋体" w:hAnsi="Times New Roman Regular" w:cs="Times New Roman Regular"/>
                <w:sz w:val="24"/>
                <w:szCs w:val="24"/>
              </w:rPr>
            </w:pPr>
            <w:r>
              <w:rPr>
                <w:rFonts w:ascii="Times New Roman Regular" w:eastAsia="宋体" w:hAnsi="Times New Roman Regular" w:cs="Times New Roman Regular"/>
                <w:sz w:val="24"/>
                <w:szCs w:val="24"/>
              </w:rPr>
              <w:t>1</w:t>
            </w:r>
          </w:p>
        </w:tc>
        <w:tc>
          <w:tcPr>
            <w:tcW w:w="956" w:type="dxa"/>
            <w:vAlign w:val="center"/>
          </w:tcPr>
          <w:p w:rsidR="00B373FD">
            <w:pPr>
              <w:pStyle w:val="-"/>
              <w:adjustRightInd w:val="0"/>
              <w:spacing w:line="240" w:lineRule="auto"/>
              <w:ind w:firstLine="0" w:firstLineChars="0"/>
              <w:jc w:val="center"/>
              <w:rPr>
                <w:rFonts w:ascii="Times New Roman Regular" w:eastAsia="宋体" w:hAnsi="Times New Roman Regular" w:cs="Times New Roman Regular"/>
                <w:sz w:val="24"/>
                <w:szCs w:val="24"/>
              </w:rPr>
            </w:pPr>
            <w:r>
              <w:rPr>
                <w:rFonts w:ascii="Times New Roman Regular" w:eastAsia="宋体" w:hAnsi="Times New Roman Regular" w:cs="Times New Roman Regular"/>
                <w:sz w:val="24"/>
                <w:szCs w:val="24"/>
              </w:rPr>
              <w:t>0</w:t>
            </w:r>
          </w:p>
        </w:tc>
        <w:tc>
          <w:tcPr>
            <w:tcW w:w="1605" w:type="dxa"/>
            <w:vAlign w:val="center"/>
          </w:tcPr>
          <w:p w:rsidR="00B373FD" w:rsidP="00617FE2">
            <w:pPr>
              <w:pStyle w:val="-"/>
              <w:adjustRightInd w:val="0"/>
              <w:spacing w:line="240" w:lineRule="auto"/>
              <w:ind w:firstLine="0" w:firstLineChars="0"/>
              <w:jc w:val="center"/>
              <w:rPr>
                <w:rFonts w:ascii="Times New Roman Regular" w:eastAsia="宋体" w:hAnsi="Times New Roman Regular" w:cs="Times New Roman Regular"/>
                <w:sz w:val="24"/>
                <w:szCs w:val="24"/>
              </w:rPr>
            </w:pPr>
            <w:r>
              <w:rPr>
                <w:rFonts w:ascii="Times New Roman Regular" w:eastAsia="宋体" w:hAnsi="Times New Roman Regular" w:cs="Times New Roman Regular"/>
                <w:sz w:val="24"/>
                <w:szCs w:val="24"/>
              </w:rPr>
              <w:t>101207</w:t>
            </w:r>
            <w:r w:rsidR="00617FE2">
              <w:rPr>
                <w:rFonts w:ascii="Times New Roman Regular" w:eastAsia="宋体" w:hAnsi="Times New Roman Regular" w:cs="Times New Roman Regular"/>
                <w:sz w:val="24"/>
                <w:szCs w:val="24"/>
              </w:rPr>
              <w:t>.</w:t>
            </w:r>
            <w:r>
              <w:rPr>
                <w:rFonts w:ascii="Times New Roman Regular" w:eastAsia="宋体" w:hAnsi="Times New Roman Regular" w:cs="Times New Roman Regular"/>
                <w:sz w:val="24"/>
                <w:szCs w:val="24"/>
              </w:rPr>
              <w:t>77</w:t>
            </w:r>
          </w:p>
        </w:tc>
        <w:tc>
          <w:tcPr>
            <w:tcW w:w="774" w:type="dxa"/>
            <w:vAlign w:val="center"/>
          </w:tcPr>
          <w:p w:rsidR="00B373FD">
            <w:pPr>
              <w:pStyle w:val="-"/>
              <w:adjustRightInd w:val="0"/>
              <w:spacing w:line="240" w:lineRule="auto"/>
              <w:ind w:firstLine="0" w:firstLineChars="0"/>
              <w:jc w:val="center"/>
              <w:rPr>
                <w:rFonts w:ascii="Times New Roman Regular" w:eastAsia="宋体" w:hAnsi="Times New Roman Regular" w:cs="Times New Roman Regular"/>
                <w:sz w:val="24"/>
                <w:szCs w:val="24"/>
              </w:rPr>
            </w:pPr>
          </w:p>
        </w:tc>
      </w:tr>
      <w:tr w:rsidTr="00716193">
        <w:tblPrEx>
          <w:tblW w:w="8755" w:type="dxa"/>
          <w:jc w:val="center"/>
          <w:tblLayout w:type="fixed"/>
          <w:tblLook w:val="04A0"/>
        </w:tblPrEx>
        <w:trPr>
          <w:trHeight w:hRule="exact" w:val="510"/>
          <w:jc w:val="center"/>
        </w:trPr>
        <w:tc>
          <w:tcPr>
            <w:tcW w:w="2552" w:type="dxa"/>
            <w:vAlign w:val="center"/>
          </w:tcPr>
          <w:p w:rsidR="00B373FD">
            <w:pPr>
              <w:snapToGrid w:val="0"/>
              <w:jc w:val="center"/>
              <w:rPr>
                <w:rFonts w:ascii="Times New Roman Regular" w:eastAsia="宋体" w:hAnsi="Times New Roman Regular" w:cs="Times New Roman Regular"/>
                <w:sz w:val="24"/>
                <w:szCs w:val="24"/>
              </w:rPr>
            </w:pPr>
            <w:r>
              <w:rPr>
                <w:rFonts w:ascii="Times New Roman Regular" w:eastAsia="宋体" w:hAnsi="Times New Roman Regular" w:cs="Times New Roman Regular"/>
                <w:sz w:val="24"/>
                <w:szCs w:val="24"/>
              </w:rPr>
              <w:t>生态修复与保护</w:t>
            </w:r>
          </w:p>
        </w:tc>
        <w:tc>
          <w:tcPr>
            <w:tcW w:w="956" w:type="dxa"/>
            <w:vAlign w:val="center"/>
          </w:tcPr>
          <w:p w:rsidR="00B373FD">
            <w:pPr>
              <w:pStyle w:val="-"/>
              <w:adjustRightInd w:val="0"/>
              <w:spacing w:line="240" w:lineRule="auto"/>
              <w:ind w:firstLine="0" w:firstLineChars="0"/>
              <w:jc w:val="center"/>
              <w:rPr>
                <w:rFonts w:ascii="Times New Roman Regular" w:eastAsia="宋体" w:hAnsi="Times New Roman Regular" w:cs="Times New Roman Regular"/>
                <w:sz w:val="24"/>
                <w:szCs w:val="24"/>
              </w:rPr>
            </w:pPr>
            <w:r>
              <w:rPr>
                <w:rFonts w:ascii="Times New Roman Regular" w:eastAsia="宋体" w:hAnsi="Times New Roman Regular" w:cs="Times New Roman Regular"/>
                <w:sz w:val="24"/>
                <w:szCs w:val="24"/>
              </w:rPr>
              <w:t>5</w:t>
            </w:r>
          </w:p>
        </w:tc>
        <w:tc>
          <w:tcPr>
            <w:tcW w:w="956" w:type="dxa"/>
            <w:vAlign w:val="center"/>
          </w:tcPr>
          <w:p w:rsidR="00B373FD">
            <w:pPr>
              <w:pStyle w:val="-"/>
              <w:adjustRightInd w:val="0"/>
              <w:spacing w:line="240" w:lineRule="auto"/>
              <w:ind w:firstLine="0" w:firstLineChars="0"/>
              <w:jc w:val="center"/>
              <w:rPr>
                <w:rFonts w:ascii="Times New Roman Regular" w:eastAsia="宋体" w:hAnsi="Times New Roman Regular" w:cs="Times New Roman Regular"/>
                <w:sz w:val="24"/>
                <w:szCs w:val="24"/>
              </w:rPr>
            </w:pPr>
            <w:r>
              <w:rPr>
                <w:rFonts w:ascii="Times New Roman Regular" w:eastAsia="宋体" w:hAnsi="Times New Roman Regular" w:cs="Times New Roman Regular"/>
                <w:sz w:val="24"/>
                <w:szCs w:val="24"/>
              </w:rPr>
              <w:t>4</w:t>
            </w:r>
          </w:p>
        </w:tc>
        <w:tc>
          <w:tcPr>
            <w:tcW w:w="956" w:type="dxa"/>
            <w:vAlign w:val="center"/>
          </w:tcPr>
          <w:p w:rsidR="00B373FD">
            <w:pPr>
              <w:pStyle w:val="-"/>
              <w:adjustRightInd w:val="0"/>
              <w:spacing w:line="240" w:lineRule="auto"/>
              <w:ind w:firstLine="0" w:firstLineChars="0"/>
              <w:jc w:val="center"/>
              <w:rPr>
                <w:rFonts w:ascii="Times New Roman Regular" w:eastAsia="宋体" w:hAnsi="Times New Roman Regular" w:cs="Times New Roman Regular"/>
                <w:sz w:val="24"/>
                <w:szCs w:val="24"/>
              </w:rPr>
            </w:pPr>
            <w:r>
              <w:rPr>
                <w:rFonts w:ascii="Times New Roman Regular" w:eastAsia="宋体" w:hAnsi="Times New Roman Regular" w:cs="Times New Roman Regular"/>
                <w:sz w:val="24"/>
                <w:szCs w:val="24"/>
              </w:rPr>
              <w:t>0</w:t>
            </w:r>
          </w:p>
        </w:tc>
        <w:tc>
          <w:tcPr>
            <w:tcW w:w="956" w:type="dxa"/>
            <w:vAlign w:val="center"/>
          </w:tcPr>
          <w:p w:rsidR="00B373FD">
            <w:pPr>
              <w:pStyle w:val="-"/>
              <w:adjustRightInd w:val="0"/>
              <w:spacing w:line="240" w:lineRule="auto"/>
              <w:ind w:firstLine="0" w:firstLineChars="0"/>
              <w:jc w:val="center"/>
              <w:rPr>
                <w:rFonts w:ascii="Times New Roman Regular" w:eastAsia="宋体" w:hAnsi="Times New Roman Regular" w:cs="Times New Roman Regular"/>
                <w:sz w:val="24"/>
                <w:szCs w:val="24"/>
              </w:rPr>
            </w:pPr>
            <w:r>
              <w:rPr>
                <w:rFonts w:ascii="Times New Roman Regular" w:eastAsia="宋体" w:hAnsi="Times New Roman Regular" w:cs="Times New Roman Regular"/>
                <w:sz w:val="24"/>
                <w:szCs w:val="24"/>
              </w:rPr>
              <w:t>1</w:t>
            </w:r>
          </w:p>
        </w:tc>
        <w:tc>
          <w:tcPr>
            <w:tcW w:w="1605" w:type="dxa"/>
            <w:vAlign w:val="center"/>
          </w:tcPr>
          <w:p w:rsidR="00B373FD" w:rsidP="00D317A1">
            <w:pPr>
              <w:pStyle w:val="-"/>
              <w:adjustRightInd w:val="0"/>
              <w:spacing w:line="240" w:lineRule="auto"/>
              <w:ind w:firstLine="0" w:firstLineChars="0"/>
              <w:jc w:val="center"/>
              <w:rPr>
                <w:rFonts w:ascii="Times New Roman Regular" w:eastAsia="宋体" w:hAnsi="Times New Roman Regular" w:cs="Times New Roman Regular"/>
                <w:sz w:val="24"/>
                <w:szCs w:val="24"/>
              </w:rPr>
            </w:pPr>
            <w:r>
              <w:rPr>
                <w:rFonts w:ascii="Times New Roman Regular" w:eastAsia="宋体" w:hAnsi="Times New Roman Regular" w:cs="Times New Roman Regular"/>
                <w:sz w:val="24"/>
                <w:szCs w:val="24"/>
              </w:rPr>
              <w:t>25400</w:t>
            </w:r>
          </w:p>
        </w:tc>
        <w:tc>
          <w:tcPr>
            <w:tcW w:w="774" w:type="dxa"/>
            <w:vAlign w:val="center"/>
          </w:tcPr>
          <w:p w:rsidR="00B373FD">
            <w:pPr>
              <w:pStyle w:val="-"/>
              <w:adjustRightInd w:val="0"/>
              <w:spacing w:line="240" w:lineRule="auto"/>
              <w:ind w:firstLine="0" w:firstLineChars="0"/>
              <w:jc w:val="center"/>
              <w:rPr>
                <w:rFonts w:ascii="Times New Roman Regular" w:eastAsia="宋体" w:hAnsi="Times New Roman Regular" w:cs="Times New Roman Regular"/>
                <w:sz w:val="24"/>
                <w:szCs w:val="24"/>
              </w:rPr>
            </w:pPr>
          </w:p>
        </w:tc>
      </w:tr>
      <w:tr w:rsidTr="00716193">
        <w:tblPrEx>
          <w:tblW w:w="8755" w:type="dxa"/>
          <w:jc w:val="center"/>
          <w:tblLayout w:type="fixed"/>
          <w:tblLook w:val="04A0"/>
        </w:tblPrEx>
        <w:trPr>
          <w:trHeight w:hRule="exact" w:val="510"/>
          <w:jc w:val="center"/>
        </w:trPr>
        <w:tc>
          <w:tcPr>
            <w:tcW w:w="2552" w:type="dxa"/>
            <w:vAlign w:val="center"/>
          </w:tcPr>
          <w:p w:rsidR="00B373FD">
            <w:pPr>
              <w:snapToGrid w:val="0"/>
              <w:jc w:val="center"/>
              <w:rPr>
                <w:rFonts w:ascii="Times New Roman Regular" w:eastAsia="宋体" w:hAnsi="Times New Roman Regular" w:cs="Times New Roman Regular"/>
                <w:sz w:val="24"/>
                <w:szCs w:val="24"/>
              </w:rPr>
            </w:pPr>
            <w:r>
              <w:rPr>
                <w:rFonts w:ascii="Times New Roman Regular" w:eastAsia="宋体" w:hAnsi="Times New Roman Regular" w:cs="Times New Roman Regular"/>
                <w:sz w:val="24"/>
                <w:szCs w:val="24"/>
              </w:rPr>
              <w:t>农村环境综合整治</w:t>
            </w:r>
          </w:p>
        </w:tc>
        <w:tc>
          <w:tcPr>
            <w:tcW w:w="956" w:type="dxa"/>
            <w:vAlign w:val="center"/>
          </w:tcPr>
          <w:p w:rsidR="00B373FD">
            <w:pPr>
              <w:pStyle w:val="-"/>
              <w:adjustRightInd w:val="0"/>
              <w:spacing w:line="240" w:lineRule="auto"/>
              <w:ind w:firstLine="0" w:firstLineChars="0"/>
              <w:jc w:val="center"/>
              <w:rPr>
                <w:rFonts w:ascii="Times New Roman Regular" w:eastAsia="宋体" w:hAnsi="Times New Roman Regular" w:cs="Times New Roman Regular"/>
                <w:sz w:val="24"/>
                <w:szCs w:val="24"/>
              </w:rPr>
            </w:pPr>
            <w:r>
              <w:rPr>
                <w:rFonts w:ascii="Times New Roman Regular" w:eastAsia="宋体" w:hAnsi="Times New Roman Regular" w:cs="Times New Roman Regular"/>
                <w:sz w:val="24"/>
                <w:szCs w:val="24"/>
              </w:rPr>
              <w:t>7</w:t>
            </w:r>
          </w:p>
        </w:tc>
        <w:tc>
          <w:tcPr>
            <w:tcW w:w="956" w:type="dxa"/>
            <w:vAlign w:val="center"/>
          </w:tcPr>
          <w:p w:rsidR="00B373FD">
            <w:pPr>
              <w:pStyle w:val="-"/>
              <w:adjustRightInd w:val="0"/>
              <w:spacing w:line="240" w:lineRule="auto"/>
              <w:ind w:firstLine="0" w:firstLineChars="0"/>
              <w:jc w:val="center"/>
              <w:rPr>
                <w:rFonts w:ascii="Times New Roman Regular" w:eastAsia="宋体" w:hAnsi="Times New Roman Regular" w:cs="Times New Roman Regular"/>
                <w:sz w:val="24"/>
                <w:szCs w:val="24"/>
              </w:rPr>
            </w:pPr>
            <w:r>
              <w:rPr>
                <w:rFonts w:ascii="Times New Roman Regular" w:eastAsia="宋体" w:hAnsi="Times New Roman Regular" w:cs="Times New Roman Regular"/>
                <w:sz w:val="24"/>
                <w:szCs w:val="24"/>
              </w:rPr>
              <w:t>7</w:t>
            </w:r>
          </w:p>
        </w:tc>
        <w:tc>
          <w:tcPr>
            <w:tcW w:w="956" w:type="dxa"/>
            <w:vAlign w:val="center"/>
          </w:tcPr>
          <w:p w:rsidR="00B373FD">
            <w:pPr>
              <w:pStyle w:val="-"/>
              <w:adjustRightInd w:val="0"/>
              <w:spacing w:line="240" w:lineRule="auto"/>
              <w:ind w:firstLine="0" w:firstLineChars="0"/>
              <w:jc w:val="center"/>
              <w:rPr>
                <w:rFonts w:ascii="Times New Roman Regular" w:eastAsia="宋体" w:hAnsi="Times New Roman Regular" w:cs="Times New Roman Regular"/>
                <w:sz w:val="24"/>
                <w:szCs w:val="24"/>
              </w:rPr>
            </w:pPr>
            <w:r>
              <w:rPr>
                <w:rFonts w:ascii="Times New Roman Regular" w:eastAsia="宋体" w:hAnsi="Times New Roman Regular" w:cs="Times New Roman Regular"/>
                <w:sz w:val="24"/>
                <w:szCs w:val="24"/>
              </w:rPr>
              <w:t>0</w:t>
            </w:r>
          </w:p>
        </w:tc>
        <w:tc>
          <w:tcPr>
            <w:tcW w:w="956" w:type="dxa"/>
            <w:vAlign w:val="center"/>
          </w:tcPr>
          <w:p w:rsidR="00B373FD">
            <w:pPr>
              <w:pStyle w:val="-"/>
              <w:adjustRightInd w:val="0"/>
              <w:spacing w:line="240" w:lineRule="auto"/>
              <w:ind w:firstLine="0" w:firstLineChars="0"/>
              <w:jc w:val="center"/>
              <w:rPr>
                <w:rFonts w:ascii="Times New Roman Regular" w:eastAsia="宋体" w:hAnsi="Times New Roman Regular" w:cs="Times New Roman Regular"/>
                <w:sz w:val="24"/>
                <w:szCs w:val="24"/>
              </w:rPr>
            </w:pPr>
            <w:r>
              <w:rPr>
                <w:rFonts w:ascii="Times New Roman Regular" w:eastAsia="宋体" w:hAnsi="Times New Roman Regular" w:cs="Times New Roman Regular"/>
                <w:sz w:val="24"/>
                <w:szCs w:val="24"/>
              </w:rPr>
              <w:t>0</w:t>
            </w:r>
          </w:p>
        </w:tc>
        <w:tc>
          <w:tcPr>
            <w:tcW w:w="1605" w:type="dxa"/>
            <w:vAlign w:val="center"/>
          </w:tcPr>
          <w:p w:rsidR="00B373FD">
            <w:pPr>
              <w:pStyle w:val="-"/>
              <w:adjustRightInd w:val="0"/>
              <w:spacing w:line="240" w:lineRule="auto"/>
              <w:ind w:firstLine="0" w:firstLineChars="0"/>
              <w:jc w:val="center"/>
              <w:rPr>
                <w:rFonts w:ascii="Times New Roman Regular" w:eastAsia="宋体" w:hAnsi="Times New Roman Regular" w:cs="Times New Roman Regular"/>
                <w:sz w:val="24"/>
                <w:szCs w:val="24"/>
              </w:rPr>
            </w:pPr>
            <w:r>
              <w:rPr>
                <w:rFonts w:ascii="Times New Roman Regular" w:eastAsia="宋体" w:hAnsi="Times New Roman Regular" w:cs="Times New Roman Regular"/>
                <w:sz w:val="24"/>
                <w:szCs w:val="24"/>
              </w:rPr>
              <w:t>103000</w:t>
            </w:r>
          </w:p>
        </w:tc>
        <w:tc>
          <w:tcPr>
            <w:tcW w:w="774" w:type="dxa"/>
            <w:vAlign w:val="center"/>
          </w:tcPr>
          <w:p w:rsidR="00B373FD">
            <w:pPr>
              <w:pStyle w:val="-"/>
              <w:adjustRightInd w:val="0"/>
              <w:spacing w:line="240" w:lineRule="auto"/>
              <w:ind w:firstLine="0" w:firstLineChars="0"/>
              <w:jc w:val="center"/>
              <w:rPr>
                <w:rFonts w:ascii="Times New Roman Regular" w:eastAsia="宋体" w:hAnsi="Times New Roman Regular" w:cs="Times New Roman Regular"/>
                <w:sz w:val="24"/>
                <w:szCs w:val="24"/>
              </w:rPr>
            </w:pPr>
          </w:p>
        </w:tc>
      </w:tr>
      <w:tr w:rsidTr="00716193">
        <w:tblPrEx>
          <w:tblW w:w="8755" w:type="dxa"/>
          <w:jc w:val="center"/>
          <w:tblLayout w:type="fixed"/>
          <w:tblLook w:val="04A0"/>
        </w:tblPrEx>
        <w:trPr>
          <w:trHeight w:hRule="exact" w:val="510"/>
          <w:jc w:val="center"/>
        </w:trPr>
        <w:tc>
          <w:tcPr>
            <w:tcW w:w="2552" w:type="dxa"/>
            <w:vAlign w:val="center"/>
          </w:tcPr>
          <w:p w:rsidR="00B373FD">
            <w:pPr>
              <w:snapToGrid w:val="0"/>
              <w:jc w:val="center"/>
              <w:rPr>
                <w:rFonts w:ascii="Times New Roman Regular" w:eastAsia="宋体" w:hAnsi="Times New Roman Regular" w:cs="Times New Roman Regular"/>
                <w:sz w:val="24"/>
                <w:szCs w:val="24"/>
              </w:rPr>
            </w:pPr>
            <w:r>
              <w:rPr>
                <w:rFonts w:ascii="Times New Roman Regular" w:eastAsia="宋体" w:hAnsi="Times New Roman Regular" w:cs="Times New Roman Regular"/>
                <w:sz w:val="24"/>
                <w:szCs w:val="24"/>
              </w:rPr>
              <w:t>环境风险防控</w:t>
            </w:r>
          </w:p>
        </w:tc>
        <w:tc>
          <w:tcPr>
            <w:tcW w:w="956" w:type="dxa"/>
            <w:vAlign w:val="center"/>
          </w:tcPr>
          <w:p w:rsidR="00B373FD">
            <w:pPr>
              <w:pStyle w:val="-"/>
              <w:adjustRightInd w:val="0"/>
              <w:spacing w:line="240" w:lineRule="auto"/>
              <w:ind w:firstLine="0" w:firstLineChars="0"/>
              <w:jc w:val="center"/>
              <w:rPr>
                <w:rFonts w:ascii="Times New Roman Regular" w:eastAsia="宋体" w:hAnsi="Times New Roman Regular" w:cs="Times New Roman Regular"/>
                <w:sz w:val="24"/>
                <w:szCs w:val="24"/>
              </w:rPr>
            </w:pPr>
            <w:r>
              <w:rPr>
                <w:rFonts w:ascii="Times New Roman Regular" w:eastAsia="宋体" w:hAnsi="Times New Roman Regular" w:cs="Times New Roman Regular"/>
                <w:sz w:val="24"/>
                <w:szCs w:val="24"/>
              </w:rPr>
              <w:t>6</w:t>
            </w:r>
          </w:p>
        </w:tc>
        <w:tc>
          <w:tcPr>
            <w:tcW w:w="956" w:type="dxa"/>
            <w:vAlign w:val="center"/>
          </w:tcPr>
          <w:p w:rsidR="00B373FD">
            <w:pPr>
              <w:pStyle w:val="-"/>
              <w:adjustRightInd w:val="0"/>
              <w:spacing w:line="240" w:lineRule="auto"/>
              <w:ind w:firstLine="0" w:firstLineChars="0"/>
              <w:jc w:val="center"/>
              <w:rPr>
                <w:rFonts w:ascii="Times New Roman Regular" w:eastAsia="宋体" w:hAnsi="Times New Roman Regular" w:cs="Times New Roman Regular"/>
                <w:sz w:val="24"/>
                <w:szCs w:val="24"/>
              </w:rPr>
            </w:pPr>
            <w:r>
              <w:rPr>
                <w:rFonts w:ascii="Times New Roman Regular" w:eastAsia="宋体" w:hAnsi="Times New Roman Regular" w:cs="Times New Roman Regular"/>
                <w:sz w:val="24"/>
                <w:szCs w:val="24"/>
              </w:rPr>
              <w:t>6</w:t>
            </w:r>
          </w:p>
        </w:tc>
        <w:tc>
          <w:tcPr>
            <w:tcW w:w="956" w:type="dxa"/>
            <w:vAlign w:val="center"/>
          </w:tcPr>
          <w:p w:rsidR="00B373FD">
            <w:pPr>
              <w:pStyle w:val="-"/>
              <w:adjustRightInd w:val="0"/>
              <w:spacing w:line="240" w:lineRule="auto"/>
              <w:ind w:firstLine="0" w:firstLineChars="0"/>
              <w:jc w:val="center"/>
              <w:rPr>
                <w:rFonts w:ascii="Times New Roman Regular" w:eastAsia="宋体" w:hAnsi="Times New Roman Regular" w:cs="Times New Roman Regular"/>
                <w:sz w:val="24"/>
                <w:szCs w:val="24"/>
              </w:rPr>
            </w:pPr>
            <w:r>
              <w:rPr>
                <w:rFonts w:ascii="Times New Roman Regular" w:eastAsia="宋体" w:hAnsi="Times New Roman Regular" w:cs="Times New Roman Regular"/>
                <w:sz w:val="24"/>
                <w:szCs w:val="24"/>
              </w:rPr>
              <w:t>0</w:t>
            </w:r>
          </w:p>
        </w:tc>
        <w:tc>
          <w:tcPr>
            <w:tcW w:w="956" w:type="dxa"/>
            <w:vAlign w:val="center"/>
          </w:tcPr>
          <w:p w:rsidR="00B373FD">
            <w:pPr>
              <w:pStyle w:val="-"/>
              <w:adjustRightInd w:val="0"/>
              <w:spacing w:line="240" w:lineRule="auto"/>
              <w:ind w:firstLine="0" w:firstLineChars="0"/>
              <w:jc w:val="center"/>
              <w:rPr>
                <w:rFonts w:ascii="Times New Roman Regular" w:eastAsia="宋体" w:hAnsi="Times New Roman Regular" w:cs="Times New Roman Regular"/>
                <w:sz w:val="24"/>
                <w:szCs w:val="24"/>
              </w:rPr>
            </w:pPr>
            <w:r>
              <w:rPr>
                <w:rFonts w:ascii="Times New Roman Regular" w:eastAsia="宋体" w:hAnsi="Times New Roman Regular" w:cs="Times New Roman Regular"/>
                <w:sz w:val="24"/>
                <w:szCs w:val="24"/>
              </w:rPr>
              <w:t>0</w:t>
            </w:r>
          </w:p>
        </w:tc>
        <w:tc>
          <w:tcPr>
            <w:tcW w:w="1605" w:type="dxa"/>
            <w:vAlign w:val="center"/>
          </w:tcPr>
          <w:p w:rsidR="00B373FD">
            <w:pPr>
              <w:pStyle w:val="-"/>
              <w:adjustRightInd w:val="0"/>
              <w:spacing w:line="240" w:lineRule="auto"/>
              <w:ind w:firstLine="0" w:firstLineChars="0"/>
              <w:jc w:val="center"/>
              <w:rPr>
                <w:rFonts w:ascii="Times New Roman Regular" w:eastAsia="宋体" w:hAnsi="Times New Roman Regular" w:cs="Times New Roman Regular"/>
                <w:sz w:val="24"/>
                <w:szCs w:val="24"/>
              </w:rPr>
            </w:pPr>
            <w:r>
              <w:rPr>
                <w:rFonts w:ascii="Times New Roman Regular" w:eastAsia="宋体" w:hAnsi="Times New Roman Regular" w:cs="Times New Roman Regular"/>
                <w:sz w:val="24"/>
                <w:szCs w:val="24"/>
              </w:rPr>
              <w:t>228429.3</w:t>
            </w:r>
          </w:p>
        </w:tc>
        <w:tc>
          <w:tcPr>
            <w:tcW w:w="774" w:type="dxa"/>
            <w:vAlign w:val="center"/>
          </w:tcPr>
          <w:p w:rsidR="00B373FD">
            <w:pPr>
              <w:pStyle w:val="-"/>
              <w:adjustRightInd w:val="0"/>
              <w:spacing w:line="240" w:lineRule="auto"/>
              <w:ind w:firstLine="0" w:firstLineChars="0"/>
              <w:jc w:val="center"/>
              <w:rPr>
                <w:rFonts w:ascii="Times New Roman Regular" w:eastAsia="宋体" w:hAnsi="Times New Roman Regular" w:cs="Times New Roman Regular"/>
                <w:sz w:val="24"/>
                <w:szCs w:val="24"/>
              </w:rPr>
            </w:pPr>
          </w:p>
        </w:tc>
      </w:tr>
      <w:tr w:rsidTr="00716193">
        <w:tblPrEx>
          <w:tblW w:w="8755" w:type="dxa"/>
          <w:jc w:val="center"/>
          <w:tblLayout w:type="fixed"/>
          <w:tblLook w:val="04A0"/>
        </w:tblPrEx>
        <w:trPr>
          <w:trHeight w:hRule="exact" w:val="510"/>
          <w:jc w:val="center"/>
        </w:trPr>
        <w:tc>
          <w:tcPr>
            <w:tcW w:w="2552" w:type="dxa"/>
            <w:vAlign w:val="center"/>
          </w:tcPr>
          <w:p w:rsidR="00B373FD">
            <w:pPr>
              <w:snapToGrid w:val="0"/>
              <w:jc w:val="center"/>
              <w:rPr>
                <w:rFonts w:ascii="Times New Roman Regular" w:eastAsia="宋体" w:hAnsi="Times New Roman Regular" w:cs="Times New Roman Regular"/>
                <w:sz w:val="24"/>
                <w:szCs w:val="24"/>
              </w:rPr>
            </w:pPr>
            <w:r>
              <w:rPr>
                <w:rFonts w:ascii="Times New Roman Regular" w:eastAsia="宋体" w:hAnsi="Times New Roman Regular" w:cs="Times New Roman Regular"/>
                <w:sz w:val="24"/>
                <w:szCs w:val="24"/>
              </w:rPr>
              <w:t>固体废物污染防治</w:t>
            </w:r>
          </w:p>
        </w:tc>
        <w:tc>
          <w:tcPr>
            <w:tcW w:w="956" w:type="dxa"/>
            <w:vAlign w:val="center"/>
          </w:tcPr>
          <w:p w:rsidR="00B373FD">
            <w:pPr>
              <w:pStyle w:val="-"/>
              <w:adjustRightInd w:val="0"/>
              <w:spacing w:line="240" w:lineRule="auto"/>
              <w:ind w:firstLine="0" w:firstLineChars="0"/>
              <w:jc w:val="center"/>
              <w:rPr>
                <w:rFonts w:ascii="Times New Roman Regular" w:eastAsia="宋体" w:hAnsi="Times New Roman Regular" w:cs="Times New Roman Regular"/>
                <w:sz w:val="24"/>
                <w:szCs w:val="24"/>
              </w:rPr>
            </w:pPr>
            <w:r>
              <w:rPr>
                <w:rFonts w:ascii="Times New Roman Regular" w:eastAsia="宋体" w:hAnsi="Times New Roman Regular" w:cs="Times New Roman Regular"/>
                <w:sz w:val="24"/>
                <w:szCs w:val="24"/>
              </w:rPr>
              <w:t>4</w:t>
            </w:r>
          </w:p>
        </w:tc>
        <w:tc>
          <w:tcPr>
            <w:tcW w:w="956" w:type="dxa"/>
            <w:vAlign w:val="center"/>
          </w:tcPr>
          <w:p w:rsidR="00B373FD">
            <w:pPr>
              <w:pStyle w:val="-"/>
              <w:adjustRightInd w:val="0"/>
              <w:spacing w:line="240" w:lineRule="auto"/>
              <w:ind w:firstLine="0" w:firstLineChars="0"/>
              <w:jc w:val="center"/>
              <w:rPr>
                <w:rFonts w:ascii="Times New Roman Regular" w:eastAsia="宋体" w:hAnsi="Times New Roman Regular" w:cs="Times New Roman Regular"/>
                <w:sz w:val="24"/>
                <w:szCs w:val="24"/>
              </w:rPr>
            </w:pPr>
            <w:r>
              <w:rPr>
                <w:rFonts w:ascii="Times New Roman Regular" w:eastAsia="宋体" w:hAnsi="Times New Roman Regular" w:cs="Times New Roman Regular"/>
                <w:sz w:val="24"/>
                <w:szCs w:val="24"/>
              </w:rPr>
              <w:t>3</w:t>
            </w:r>
          </w:p>
        </w:tc>
        <w:tc>
          <w:tcPr>
            <w:tcW w:w="956" w:type="dxa"/>
            <w:vAlign w:val="center"/>
          </w:tcPr>
          <w:p w:rsidR="00B373FD">
            <w:pPr>
              <w:pStyle w:val="-"/>
              <w:adjustRightInd w:val="0"/>
              <w:spacing w:line="240" w:lineRule="auto"/>
              <w:ind w:firstLine="0" w:firstLineChars="0"/>
              <w:jc w:val="center"/>
              <w:rPr>
                <w:rFonts w:ascii="Times New Roman Regular" w:eastAsia="宋体" w:hAnsi="Times New Roman Regular" w:cs="Times New Roman Regular"/>
                <w:sz w:val="24"/>
                <w:szCs w:val="24"/>
              </w:rPr>
            </w:pPr>
            <w:r>
              <w:rPr>
                <w:rFonts w:ascii="Times New Roman Regular" w:eastAsia="宋体" w:hAnsi="Times New Roman Regular" w:cs="Times New Roman Regular"/>
                <w:sz w:val="24"/>
                <w:szCs w:val="24"/>
              </w:rPr>
              <w:t>0</w:t>
            </w:r>
          </w:p>
        </w:tc>
        <w:tc>
          <w:tcPr>
            <w:tcW w:w="956" w:type="dxa"/>
            <w:vAlign w:val="center"/>
          </w:tcPr>
          <w:p w:rsidR="00B373FD">
            <w:pPr>
              <w:pStyle w:val="-"/>
              <w:adjustRightInd w:val="0"/>
              <w:spacing w:line="240" w:lineRule="auto"/>
              <w:ind w:firstLine="0" w:firstLineChars="0"/>
              <w:jc w:val="center"/>
              <w:rPr>
                <w:rFonts w:ascii="Times New Roman Regular" w:eastAsia="宋体" w:hAnsi="Times New Roman Regular" w:cs="Times New Roman Regular"/>
                <w:sz w:val="24"/>
                <w:szCs w:val="24"/>
              </w:rPr>
            </w:pPr>
            <w:r>
              <w:rPr>
                <w:rFonts w:ascii="Times New Roman Regular" w:eastAsia="宋体" w:hAnsi="Times New Roman Regular" w:cs="Times New Roman Regular"/>
                <w:sz w:val="24"/>
                <w:szCs w:val="24"/>
              </w:rPr>
              <w:t>1</w:t>
            </w:r>
          </w:p>
        </w:tc>
        <w:tc>
          <w:tcPr>
            <w:tcW w:w="1605" w:type="dxa"/>
            <w:vAlign w:val="center"/>
          </w:tcPr>
          <w:p w:rsidR="00B373FD">
            <w:pPr>
              <w:pStyle w:val="-"/>
              <w:adjustRightInd w:val="0"/>
              <w:spacing w:line="240" w:lineRule="auto"/>
              <w:ind w:firstLine="0" w:firstLineChars="0"/>
              <w:jc w:val="center"/>
              <w:rPr>
                <w:rFonts w:ascii="Times New Roman Regular" w:eastAsia="宋体" w:hAnsi="Times New Roman Regular" w:cs="Times New Roman Regular"/>
                <w:sz w:val="24"/>
                <w:szCs w:val="24"/>
              </w:rPr>
            </w:pPr>
            <w:r>
              <w:rPr>
                <w:rFonts w:ascii="Times New Roman Regular" w:eastAsia="宋体" w:hAnsi="Times New Roman Regular" w:cs="Times New Roman Regular"/>
                <w:sz w:val="24"/>
                <w:szCs w:val="24"/>
              </w:rPr>
              <w:t>109600</w:t>
            </w:r>
          </w:p>
        </w:tc>
        <w:tc>
          <w:tcPr>
            <w:tcW w:w="774" w:type="dxa"/>
            <w:vAlign w:val="center"/>
          </w:tcPr>
          <w:p w:rsidR="00B373FD">
            <w:pPr>
              <w:pStyle w:val="-"/>
              <w:adjustRightInd w:val="0"/>
              <w:spacing w:line="240" w:lineRule="auto"/>
              <w:ind w:firstLine="0" w:firstLineChars="0"/>
              <w:jc w:val="center"/>
              <w:rPr>
                <w:rFonts w:ascii="Times New Roman Regular" w:eastAsia="宋体" w:hAnsi="Times New Roman Regular" w:cs="Times New Roman Regular"/>
                <w:sz w:val="24"/>
                <w:szCs w:val="24"/>
              </w:rPr>
            </w:pPr>
          </w:p>
        </w:tc>
      </w:tr>
      <w:tr w:rsidTr="00716193">
        <w:tblPrEx>
          <w:tblW w:w="8755" w:type="dxa"/>
          <w:jc w:val="center"/>
          <w:tblLayout w:type="fixed"/>
          <w:tblLook w:val="04A0"/>
        </w:tblPrEx>
        <w:trPr>
          <w:trHeight w:hRule="exact" w:val="510"/>
          <w:jc w:val="center"/>
        </w:trPr>
        <w:tc>
          <w:tcPr>
            <w:tcW w:w="2552" w:type="dxa"/>
            <w:vAlign w:val="center"/>
          </w:tcPr>
          <w:p w:rsidR="00B373FD">
            <w:pPr>
              <w:snapToGrid w:val="0"/>
              <w:jc w:val="center"/>
              <w:rPr>
                <w:rFonts w:ascii="Times New Roman Regular" w:eastAsia="宋体" w:hAnsi="Times New Roman Regular" w:cs="Times New Roman Regular"/>
                <w:sz w:val="24"/>
                <w:szCs w:val="24"/>
              </w:rPr>
            </w:pPr>
            <w:r>
              <w:rPr>
                <w:rFonts w:ascii="Times New Roman Regular" w:eastAsia="宋体" w:hAnsi="Times New Roman Regular" w:cs="Times New Roman Regular"/>
                <w:sz w:val="24"/>
                <w:szCs w:val="24"/>
              </w:rPr>
              <w:t>环境监管能力建设</w:t>
            </w:r>
          </w:p>
        </w:tc>
        <w:tc>
          <w:tcPr>
            <w:tcW w:w="956" w:type="dxa"/>
            <w:vAlign w:val="center"/>
          </w:tcPr>
          <w:p w:rsidR="00B373FD">
            <w:pPr>
              <w:pStyle w:val="-"/>
              <w:adjustRightInd w:val="0"/>
              <w:spacing w:line="240" w:lineRule="auto"/>
              <w:ind w:firstLine="0" w:firstLineChars="0"/>
              <w:jc w:val="center"/>
              <w:rPr>
                <w:rFonts w:ascii="Times New Roman Regular" w:eastAsia="宋体" w:hAnsi="Times New Roman Regular" w:cs="Times New Roman Regular"/>
                <w:sz w:val="24"/>
                <w:szCs w:val="24"/>
              </w:rPr>
            </w:pPr>
            <w:r>
              <w:rPr>
                <w:rFonts w:ascii="Times New Roman Regular" w:eastAsia="宋体" w:hAnsi="Times New Roman Regular" w:cs="Times New Roman Regular"/>
                <w:sz w:val="24"/>
                <w:szCs w:val="24"/>
              </w:rPr>
              <w:t>2</w:t>
            </w:r>
          </w:p>
        </w:tc>
        <w:tc>
          <w:tcPr>
            <w:tcW w:w="956" w:type="dxa"/>
            <w:vAlign w:val="center"/>
          </w:tcPr>
          <w:p w:rsidR="00B373FD">
            <w:pPr>
              <w:pStyle w:val="-"/>
              <w:adjustRightInd w:val="0"/>
              <w:spacing w:line="240" w:lineRule="auto"/>
              <w:ind w:firstLine="0" w:firstLineChars="0"/>
              <w:jc w:val="center"/>
              <w:rPr>
                <w:rFonts w:ascii="Times New Roman Regular" w:eastAsia="宋体" w:hAnsi="Times New Roman Regular" w:cs="Times New Roman Regular"/>
                <w:sz w:val="24"/>
                <w:szCs w:val="24"/>
              </w:rPr>
            </w:pPr>
            <w:r>
              <w:rPr>
                <w:rFonts w:ascii="Times New Roman Regular" w:eastAsia="宋体" w:hAnsi="Times New Roman Regular" w:cs="Times New Roman Regular"/>
                <w:sz w:val="24"/>
                <w:szCs w:val="24"/>
              </w:rPr>
              <w:t>2</w:t>
            </w:r>
          </w:p>
        </w:tc>
        <w:tc>
          <w:tcPr>
            <w:tcW w:w="956" w:type="dxa"/>
            <w:vAlign w:val="center"/>
          </w:tcPr>
          <w:p w:rsidR="00B373FD">
            <w:pPr>
              <w:pStyle w:val="-"/>
              <w:adjustRightInd w:val="0"/>
              <w:spacing w:line="240" w:lineRule="auto"/>
              <w:ind w:firstLine="0" w:firstLineChars="0"/>
              <w:jc w:val="center"/>
              <w:rPr>
                <w:rFonts w:ascii="Times New Roman Regular" w:eastAsia="宋体" w:hAnsi="Times New Roman Regular" w:cs="Times New Roman Regular"/>
                <w:sz w:val="24"/>
                <w:szCs w:val="24"/>
              </w:rPr>
            </w:pPr>
            <w:r>
              <w:rPr>
                <w:rFonts w:ascii="Times New Roman Regular" w:eastAsia="宋体" w:hAnsi="Times New Roman Regular" w:cs="Times New Roman Regular"/>
                <w:sz w:val="24"/>
                <w:szCs w:val="24"/>
              </w:rPr>
              <w:t>0</w:t>
            </w:r>
          </w:p>
        </w:tc>
        <w:tc>
          <w:tcPr>
            <w:tcW w:w="956" w:type="dxa"/>
            <w:vAlign w:val="center"/>
          </w:tcPr>
          <w:p w:rsidR="00B373FD">
            <w:pPr>
              <w:pStyle w:val="-"/>
              <w:adjustRightInd w:val="0"/>
              <w:spacing w:line="240" w:lineRule="auto"/>
              <w:ind w:firstLine="0" w:firstLineChars="0"/>
              <w:jc w:val="center"/>
              <w:rPr>
                <w:rFonts w:ascii="Times New Roman Regular" w:eastAsia="宋体" w:hAnsi="Times New Roman Regular" w:cs="Times New Roman Regular"/>
                <w:sz w:val="24"/>
                <w:szCs w:val="24"/>
              </w:rPr>
            </w:pPr>
            <w:r>
              <w:rPr>
                <w:rFonts w:ascii="Times New Roman Regular" w:eastAsia="宋体" w:hAnsi="Times New Roman Regular" w:cs="Times New Roman Regular"/>
                <w:sz w:val="24"/>
                <w:szCs w:val="24"/>
              </w:rPr>
              <w:t>0</w:t>
            </w:r>
          </w:p>
        </w:tc>
        <w:tc>
          <w:tcPr>
            <w:tcW w:w="1605" w:type="dxa"/>
            <w:vAlign w:val="center"/>
          </w:tcPr>
          <w:p w:rsidR="00B373FD">
            <w:pPr>
              <w:pStyle w:val="-"/>
              <w:adjustRightInd w:val="0"/>
              <w:spacing w:line="240" w:lineRule="auto"/>
              <w:ind w:firstLine="0" w:firstLineChars="0"/>
              <w:jc w:val="center"/>
              <w:rPr>
                <w:rFonts w:ascii="Times New Roman Regular" w:eastAsia="宋体" w:hAnsi="Times New Roman Regular" w:cs="Times New Roman Regular"/>
                <w:sz w:val="24"/>
                <w:szCs w:val="24"/>
              </w:rPr>
            </w:pPr>
            <w:r>
              <w:rPr>
                <w:rFonts w:ascii="Times New Roman Regular" w:eastAsia="宋体" w:hAnsi="Times New Roman Regular" w:cs="Times New Roman Regular"/>
                <w:sz w:val="24"/>
                <w:szCs w:val="24"/>
              </w:rPr>
              <w:t>310</w:t>
            </w:r>
          </w:p>
        </w:tc>
        <w:tc>
          <w:tcPr>
            <w:tcW w:w="774" w:type="dxa"/>
            <w:vAlign w:val="center"/>
          </w:tcPr>
          <w:p w:rsidR="00B373FD">
            <w:pPr>
              <w:pStyle w:val="-"/>
              <w:adjustRightInd w:val="0"/>
              <w:spacing w:line="240" w:lineRule="auto"/>
              <w:ind w:firstLine="0" w:firstLineChars="0"/>
              <w:jc w:val="center"/>
              <w:rPr>
                <w:rFonts w:ascii="Times New Roman Regular" w:eastAsia="宋体" w:hAnsi="Times New Roman Regular" w:cs="Times New Roman Regular"/>
                <w:sz w:val="24"/>
                <w:szCs w:val="24"/>
              </w:rPr>
            </w:pPr>
          </w:p>
        </w:tc>
      </w:tr>
      <w:tr w:rsidTr="00716193">
        <w:tblPrEx>
          <w:tblW w:w="8755" w:type="dxa"/>
          <w:jc w:val="center"/>
          <w:tblLayout w:type="fixed"/>
          <w:tblLook w:val="04A0"/>
        </w:tblPrEx>
        <w:trPr>
          <w:trHeight w:hRule="exact" w:val="510"/>
          <w:jc w:val="center"/>
        </w:trPr>
        <w:tc>
          <w:tcPr>
            <w:tcW w:w="2552" w:type="dxa"/>
            <w:vAlign w:val="center"/>
          </w:tcPr>
          <w:p w:rsidR="00B373FD">
            <w:pPr>
              <w:snapToGrid w:val="0"/>
              <w:jc w:val="center"/>
              <w:rPr>
                <w:rFonts w:ascii="Times New Roman Regular" w:eastAsia="宋体" w:hAnsi="Times New Roman Regular" w:cs="Times New Roman Regular"/>
                <w:sz w:val="24"/>
                <w:szCs w:val="24"/>
              </w:rPr>
            </w:pPr>
            <w:r>
              <w:rPr>
                <w:rFonts w:ascii="Times New Roman Regular" w:eastAsia="宋体" w:hAnsi="Times New Roman Regular" w:cs="Times New Roman Regular"/>
                <w:sz w:val="24"/>
                <w:szCs w:val="24"/>
              </w:rPr>
              <w:t>环境宣教现代化建设</w:t>
            </w:r>
          </w:p>
        </w:tc>
        <w:tc>
          <w:tcPr>
            <w:tcW w:w="956" w:type="dxa"/>
            <w:vAlign w:val="center"/>
          </w:tcPr>
          <w:p w:rsidR="00B373FD">
            <w:pPr>
              <w:pStyle w:val="-"/>
              <w:adjustRightInd w:val="0"/>
              <w:spacing w:line="240" w:lineRule="auto"/>
              <w:ind w:firstLine="0" w:firstLineChars="0"/>
              <w:jc w:val="center"/>
              <w:rPr>
                <w:rFonts w:ascii="Times New Roman Regular" w:eastAsia="宋体" w:hAnsi="Times New Roman Regular" w:cs="Times New Roman Regular"/>
                <w:sz w:val="24"/>
                <w:szCs w:val="24"/>
              </w:rPr>
            </w:pPr>
            <w:r>
              <w:rPr>
                <w:rFonts w:ascii="Times New Roman Regular" w:eastAsia="宋体" w:hAnsi="Times New Roman Regular" w:cs="Times New Roman Regular"/>
                <w:sz w:val="24"/>
                <w:szCs w:val="24"/>
              </w:rPr>
              <w:t>1</w:t>
            </w:r>
          </w:p>
        </w:tc>
        <w:tc>
          <w:tcPr>
            <w:tcW w:w="956" w:type="dxa"/>
            <w:vAlign w:val="center"/>
          </w:tcPr>
          <w:p w:rsidR="00B373FD">
            <w:pPr>
              <w:pStyle w:val="-"/>
              <w:adjustRightInd w:val="0"/>
              <w:spacing w:line="240" w:lineRule="auto"/>
              <w:ind w:firstLine="0" w:firstLineChars="0"/>
              <w:jc w:val="center"/>
              <w:rPr>
                <w:rFonts w:ascii="Times New Roman Regular" w:eastAsia="宋体" w:hAnsi="Times New Roman Regular" w:cs="Times New Roman Regular"/>
                <w:sz w:val="24"/>
                <w:szCs w:val="24"/>
              </w:rPr>
            </w:pPr>
            <w:r>
              <w:rPr>
                <w:rFonts w:ascii="Times New Roman Regular" w:eastAsia="宋体" w:hAnsi="Times New Roman Regular" w:cs="Times New Roman Regular"/>
                <w:sz w:val="24"/>
                <w:szCs w:val="24"/>
              </w:rPr>
              <w:t>1</w:t>
            </w:r>
          </w:p>
        </w:tc>
        <w:tc>
          <w:tcPr>
            <w:tcW w:w="956" w:type="dxa"/>
            <w:vAlign w:val="center"/>
          </w:tcPr>
          <w:p w:rsidR="00B373FD">
            <w:pPr>
              <w:pStyle w:val="-"/>
              <w:adjustRightInd w:val="0"/>
              <w:spacing w:line="240" w:lineRule="auto"/>
              <w:ind w:firstLine="0" w:firstLineChars="0"/>
              <w:jc w:val="center"/>
              <w:rPr>
                <w:rFonts w:ascii="Times New Roman Regular" w:eastAsia="宋体" w:hAnsi="Times New Roman Regular" w:cs="Times New Roman Regular"/>
                <w:sz w:val="24"/>
                <w:szCs w:val="24"/>
              </w:rPr>
            </w:pPr>
            <w:r>
              <w:rPr>
                <w:rFonts w:ascii="Times New Roman Regular" w:eastAsia="宋体" w:hAnsi="Times New Roman Regular" w:cs="Times New Roman Regular"/>
                <w:sz w:val="24"/>
                <w:szCs w:val="24"/>
              </w:rPr>
              <w:t>0</w:t>
            </w:r>
          </w:p>
        </w:tc>
        <w:tc>
          <w:tcPr>
            <w:tcW w:w="956" w:type="dxa"/>
            <w:vAlign w:val="center"/>
          </w:tcPr>
          <w:p w:rsidR="00B373FD">
            <w:pPr>
              <w:pStyle w:val="-"/>
              <w:adjustRightInd w:val="0"/>
              <w:spacing w:line="240" w:lineRule="auto"/>
              <w:ind w:firstLine="0" w:firstLineChars="0"/>
              <w:jc w:val="center"/>
              <w:rPr>
                <w:rFonts w:ascii="Times New Roman Regular" w:eastAsia="宋体" w:hAnsi="Times New Roman Regular" w:cs="Times New Roman Regular"/>
                <w:sz w:val="24"/>
                <w:szCs w:val="24"/>
              </w:rPr>
            </w:pPr>
            <w:r>
              <w:rPr>
                <w:rFonts w:ascii="Times New Roman Regular" w:eastAsia="宋体" w:hAnsi="Times New Roman Regular" w:cs="Times New Roman Regular"/>
                <w:sz w:val="24"/>
                <w:szCs w:val="24"/>
              </w:rPr>
              <w:t>0</w:t>
            </w:r>
          </w:p>
        </w:tc>
        <w:tc>
          <w:tcPr>
            <w:tcW w:w="1605" w:type="dxa"/>
            <w:vAlign w:val="center"/>
          </w:tcPr>
          <w:p w:rsidR="00B373FD">
            <w:pPr>
              <w:pStyle w:val="-"/>
              <w:adjustRightInd w:val="0"/>
              <w:spacing w:line="240" w:lineRule="auto"/>
              <w:ind w:firstLine="0" w:firstLineChars="0"/>
              <w:jc w:val="center"/>
              <w:rPr>
                <w:rFonts w:ascii="Times New Roman Regular" w:eastAsia="宋体" w:hAnsi="Times New Roman Regular" w:cs="Times New Roman Regular"/>
                <w:sz w:val="24"/>
                <w:szCs w:val="24"/>
              </w:rPr>
            </w:pPr>
            <w:r>
              <w:rPr>
                <w:rFonts w:ascii="Times New Roman Regular" w:eastAsia="宋体" w:hAnsi="Times New Roman Regular" w:cs="Times New Roman Regular"/>
                <w:sz w:val="24"/>
                <w:szCs w:val="24"/>
              </w:rPr>
              <w:t>10</w:t>
            </w:r>
          </w:p>
        </w:tc>
        <w:tc>
          <w:tcPr>
            <w:tcW w:w="774" w:type="dxa"/>
            <w:vAlign w:val="center"/>
          </w:tcPr>
          <w:p w:rsidR="00B373FD">
            <w:pPr>
              <w:pStyle w:val="-"/>
              <w:adjustRightInd w:val="0"/>
              <w:spacing w:line="240" w:lineRule="auto"/>
              <w:ind w:firstLine="0" w:firstLineChars="0"/>
              <w:jc w:val="center"/>
              <w:rPr>
                <w:rFonts w:ascii="Times New Roman Regular" w:eastAsia="宋体" w:hAnsi="Times New Roman Regular" w:cs="Times New Roman Regular"/>
                <w:sz w:val="24"/>
                <w:szCs w:val="24"/>
              </w:rPr>
            </w:pPr>
          </w:p>
        </w:tc>
      </w:tr>
      <w:tr w:rsidTr="00716193">
        <w:tblPrEx>
          <w:tblW w:w="8755" w:type="dxa"/>
          <w:jc w:val="center"/>
          <w:tblLayout w:type="fixed"/>
          <w:tblLook w:val="04A0"/>
        </w:tblPrEx>
        <w:trPr>
          <w:trHeight w:hRule="exact" w:val="510"/>
          <w:jc w:val="center"/>
        </w:trPr>
        <w:tc>
          <w:tcPr>
            <w:tcW w:w="2552" w:type="dxa"/>
            <w:vAlign w:val="center"/>
          </w:tcPr>
          <w:p w:rsidR="00617FE2" w:rsidP="00617FE2">
            <w:pPr>
              <w:pStyle w:val="-"/>
              <w:adjustRightInd w:val="0"/>
              <w:spacing w:line="240" w:lineRule="auto"/>
              <w:ind w:firstLine="0" w:firstLineChars="0"/>
              <w:jc w:val="center"/>
              <w:rPr>
                <w:rFonts w:ascii="Times New Roman Regular" w:eastAsia="宋体" w:hAnsi="Times New Roman Regular" w:cs="Times New Roman Regular"/>
                <w:sz w:val="24"/>
                <w:szCs w:val="24"/>
              </w:rPr>
            </w:pPr>
            <w:r>
              <w:rPr>
                <w:rFonts w:ascii="Times New Roman Regular" w:eastAsia="宋体" w:hAnsi="Times New Roman Regular" w:cs="Times New Roman Regular"/>
                <w:sz w:val="24"/>
                <w:szCs w:val="24"/>
              </w:rPr>
              <w:t>合计</w:t>
            </w:r>
          </w:p>
        </w:tc>
        <w:tc>
          <w:tcPr>
            <w:tcW w:w="956" w:type="dxa"/>
            <w:vAlign w:val="center"/>
          </w:tcPr>
          <w:p w:rsidR="00617FE2" w:rsidP="00617FE2">
            <w:pPr>
              <w:pStyle w:val="-"/>
              <w:adjustRightInd w:val="0"/>
              <w:spacing w:line="240" w:lineRule="auto"/>
              <w:ind w:firstLine="0" w:firstLineChars="0"/>
              <w:jc w:val="center"/>
              <w:rPr>
                <w:rFonts w:ascii="Times New Roman Regular" w:eastAsia="宋体" w:hAnsi="Times New Roman Regular" w:cs="Times New Roman Regular"/>
                <w:sz w:val="24"/>
                <w:szCs w:val="24"/>
              </w:rPr>
            </w:pPr>
            <w:r w:rsidRPr="00993048">
              <w:rPr>
                <w:rFonts w:ascii="Times New Roman Regular" w:eastAsia="宋体" w:hAnsi="Times New Roman Regular" w:cs="Times New Roman Regular"/>
                <w:sz w:val="24"/>
                <w:szCs w:val="24"/>
              </w:rPr>
              <w:t>52</w:t>
            </w:r>
          </w:p>
        </w:tc>
        <w:tc>
          <w:tcPr>
            <w:tcW w:w="956" w:type="dxa"/>
            <w:vAlign w:val="center"/>
          </w:tcPr>
          <w:p w:rsidR="00617FE2" w:rsidP="00617FE2">
            <w:pPr>
              <w:pStyle w:val="-"/>
              <w:adjustRightInd w:val="0"/>
              <w:spacing w:line="240" w:lineRule="auto"/>
              <w:ind w:firstLine="0" w:firstLineChars="0"/>
              <w:jc w:val="center"/>
              <w:rPr>
                <w:rFonts w:ascii="Times New Roman Regular" w:eastAsia="宋体" w:hAnsi="Times New Roman Regular" w:cs="Times New Roman Regular"/>
                <w:sz w:val="24"/>
                <w:szCs w:val="24"/>
              </w:rPr>
            </w:pPr>
            <w:r w:rsidRPr="00993048">
              <w:rPr>
                <w:rFonts w:ascii="Times New Roman Regular" w:eastAsia="宋体" w:hAnsi="Times New Roman Regular" w:cs="Times New Roman Regular"/>
                <w:sz w:val="24"/>
                <w:szCs w:val="24"/>
              </w:rPr>
              <w:t>43</w:t>
            </w:r>
          </w:p>
        </w:tc>
        <w:tc>
          <w:tcPr>
            <w:tcW w:w="956" w:type="dxa"/>
            <w:vAlign w:val="center"/>
          </w:tcPr>
          <w:p w:rsidR="00617FE2" w:rsidP="00617FE2">
            <w:pPr>
              <w:pStyle w:val="-"/>
              <w:adjustRightInd w:val="0"/>
              <w:spacing w:line="240" w:lineRule="auto"/>
              <w:ind w:firstLine="0" w:firstLineChars="0"/>
              <w:jc w:val="center"/>
              <w:rPr>
                <w:rFonts w:ascii="Times New Roman Regular" w:eastAsia="宋体" w:hAnsi="Times New Roman Regular" w:cs="Times New Roman Regular"/>
                <w:sz w:val="24"/>
                <w:szCs w:val="24"/>
              </w:rPr>
            </w:pPr>
            <w:r w:rsidRPr="00993048">
              <w:rPr>
                <w:rFonts w:ascii="Times New Roman Regular" w:eastAsia="宋体" w:hAnsi="Times New Roman Regular" w:cs="Times New Roman Regular"/>
                <w:sz w:val="24"/>
                <w:szCs w:val="24"/>
              </w:rPr>
              <w:t>4</w:t>
            </w:r>
          </w:p>
        </w:tc>
        <w:tc>
          <w:tcPr>
            <w:tcW w:w="956" w:type="dxa"/>
            <w:vAlign w:val="center"/>
          </w:tcPr>
          <w:p w:rsidR="00617FE2" w:rsidP="00617FE2">
            <w:pPr>
              <w:pStyle w:val="-"/>
              <w:adjustRightInd w:val="0"/>
              <w:spacing w:line="240" w:lineRule="auto"/>
              <w:ind w:firstLine="0" w:firstLineChars="0"/>
              <w:jc w:val="center"/>
              <w:rPr>
                <w:rFonts w:ascii="Times New Roman Regular" w:eastAsia="宋体" w:hAnsi="Times New Roman Regular" w:cs="Times New Roman Regular"/>
                <w:sz w:val="24"/>
                <w:szCs w:val="24"/>
              </w:rPr>
            </w:pPr>
            <w:r w:rsidRPr="00993048">
              <w:rPr>
                <w:rFonts w:ascii="Times New Roman Regular" w:eastAsia="宋体" w:hAnsi="Times New Roman Regular" w:cs="Times New Roman Regular"/>
                <w:sz w:val="24"/>
                <w:szCs w:val="24"/>
              </w:rPr>
              <w:t>5</w:t>
            </w:r>
          </w:p>
        </w:tc>
        <w:tc>
          <w:tcPr>
            <w:tcW w:w="1605" w:type="dxa"/>
            <w:vAlign w:val="center"/>
          </w:tcPr>
          <w:p w:rsidR="00617FE2" w:rsidP="00617FE2">
            <w:pPr>
              <w:pStyle w:val="-"/>
              <w:adjustRightInd w:val="0"/>
              <w:spacing w:line="240" w:lineRule="auto"/>
              <w:ind w:firstLine="0" w:firstLineChars="0"/>
              <w:jc w:val="center"/>
              <w:rPr>
                <w:rFonts w:ascii="Times New Roman Regular" w:eastAsia="宋体" w:hAnsi="Times New Roman Regular" w:cs="Times New Roman Regular"/>
                <w:sz w:val="24"/>
                <w:szCs w:val="24"/>
              </w:rPr>
            </w:pPr>
            <w:r w:rsidRPr="00993048">
              <w:rPr>
                <w:rFonts w:ascii="Times New Roman Regular" w:eastAsia="宋体" w:hAnsi="Times New Roman Regular" w:cs="Times New Roman Regular"/>
                <w:sz w:val="24"/>
                <w:szCs w:val="24"/>
              </w:rPr>
              <w:t xml:space="preserve">789719.72 </w:t>
            </w:r>
          </w:p>
        </w:tc>
        <w:tc>
          <w:tcPr>
            <w:tcW w:w="774" w:type="dxa"/>
            <w:vAlign w:val="center"/>
          </w:tcPr>
          <w:p w:rsidR="00617FE2" w:rsidP="00617FE2">
            <w:pPr>
              <w:pStyle w:val="-"/>
              <w:adjustRightInd w:val="0"/>
              <w:spacing w:line="240" w:lineRule="auto"/>
              <w:ind w:firstLine="0" w:firstLineChars="0"/>
              <w:jc w:val="center"/>
              <w:rPr>
                <w:rFonts w:ascii="Times New Roman Regular" w:eastAsia="宋体" w:hAnsi="Times New Roman Regular" w:cs="Times New Roman Regular"/>
                <w:sz w:val="24"/>
                <w:szCs w:val="24"/>
              </w:rPr>
            </w:pPr>
          </w:p>
        </w:tc>
      </w:tr>
    </w:tbl>
    <w:p w:rsidR="00B373FD">
      <w:pPr>
        <w:pStyle w:val="Heading2"/>
        <w:numPr>
          <w:ilvl w:val="1"/>
          <w:numId w:val="4"/>
        </w:numPr>
        <w:spacing w:before="156" w:after="156"/>
        <w:rPr>
          <w:rFonts w:ascii="Times New Roman Regular" w:hAnsi="Times New Roman Regular" w:cs="Times New Roman Regular"/>
        </w:rPr>
      </w:pPr>
      <w:bookmarkStart w:id="35" w:name="_Toc77862695"/>
      <w:r>
        <w:rPr>
          <w:rFonts w:ascii="Times New Roman Regular" w:hAnsi="Times New Roman Regular" w:cs="Times New Roman Regular"/>
        </w:rPr>
        <w:t>存在的主要问题</w:t>
      </w:r>
      <w:bookmarkEnd w:id="35"/>
    </w:p>
    <w:p w:rsidR="00B373FD">
      <w:pPr>
        <w:pStyle w:val="Heading3"/>
        <w:numPr>
          <w:ilvl w:val="2"/>
          <w:numId w:val="4"/>
        </w:numPr>
        <w:rPr>
          <w:rFonts w:ascii="Times New Roman Regular" w:hAnsi="Times New Roman Regular" w:cs="Times New Roman Regular"/>
        </w:rPr>
      </w:pPr>
      <w:r>
        <w:rPr>
          <w:rFonts w:ascii="Times New Roman Regular" w:hAnsi="Times New Roman Regular" w:cs="Times New Roman Regular"/>
        </w:rPr>
        <w:t>资源能源约束日益凸显</w:t>
      </w:r>
    </w:p>
    <w:p w:rsidR="00B373FD">
      <w:pPr>
        <w:ind w:firstLine="640" w:firstLineChars="200"/>
        <w:rPr>
          <w:lang w:val="zh-CN"/>
        </w:rPr>
      </w:pPr>
      <w:r>
        <w:rPr>
          <w:lang w:val="zh-CN"/>
        </w:rPr>
        <w:t>随着太仓市社会经济的飞速发展，资源的大量开发利用，自然资源的稀缺性日益凸显。</w:t>
      </w:r>
      <w:r w:rsidR="00DA48FD">
        <w:rPr>
          <w:lang w:val="zh-CN"/>
        </w:rPr>
        <w:t>土地资源可挖掘潜力较小，</w:t>
      </w:r>
      <w:r>
        <w:rPr>
          <w:lang w:val="zh-CN"/>
        </w:rPr>
        <w:t>未利用土地除滩涂、苇地外，荒地、废弃地等分布面积极少。城市供水水源主要取自长江，水资源依赖度高。能源自给率低，煤炭、石油、天然气等一次性能源需从外地调入。太仓市承担着大量苏州乃至华东地区的发电任务，</w:t>
      </w:r>
      <w:r>
        <w:rPr>
          <w:lang w:val="zh-CN"/>
        </w:rPr>
        <w:t>2019</w:t>
      </w:r>
      <w:r>
        <w:rPr>
          <w:lang w:val="zh-CN"/>
        </w:rPr>
        <w:t>年原煤占全市能源消耗总量的</w:t>
      </w:r>
      <w:r>
        <w:rPr>
          <w:lang w:val="zh-CN"/>
        </w:rPr>
        <w:t>85.93%</w:t>
      </w:r>
      <w:r>
        <w:rPr>
          <w:lang w:val="zh-CN"/>
        </w:rPr>
        <w:t>。虽然我市积极发展光伏、风电、天然气等清洁能源，但省统调电厂的煤炭消费量比重高且不受地方控制，导致我市能源结构调整成效</w:t>
      </w:r>
      <w:r w:rsidR="007603A5">
        <w:rPr>
          <w:rFonts w:hint="eastAsia"/>
          <w:lang w:val="zh-CN"/>
        </w:rPr>
        <w:t>不明显</w:t>
      </w:r>
      <w:r>
        <w:rPr>
          <w:lang w:val="zh-CN"/>
        </w:rPr>
        <w:t>。</w:t>
      </w:r>
    </w:p>
    <w:p w:rsidR="00B373FD">
      <w:pPr>
        <w:pStyle w:val="Heading3"/>
        <w:numPr>
          <w:ilvl w:val="2"/>
          <w:numId w:val="4"/>
        </w:numPr>
        <w:rPr>
          <w:rFonts w:ascii="Times New Roman Regular" w:hAnsi="Times New Roman Regular" w:cs="Times New Roman Regular"/>
        </w:rPr>
      </w:pPr>
      <w:r>
        <w:rPr>
          <w:rFonts w:ascii="Times New Roman Regular" w:hAnsi="Times New Roman Regular" w:cs="Times New Roman Regular"/>
        </w:rPr>
        <w:t>环境质量改善</w:t>
      </w:r>
      <w:r>
        <w:rPr>
          <w:rFonts w:ascii="Times New Roman Regular" w:hAnsi="Times New Roman Regular" w:cs="Times New Roman Regular" w:hint="eastAsia"/>
        </w:rPr>
        <w:t>难度加大</w:t>
      </w:r>
    </w:p>
    <w:p w:rsidR="00B373FD">
      <w:pPr>
        <w:tabs>
          <w:tab w:val="left" w:pos="3240"/>
        </w:tabs>
        <w:spacing w:before="120" w:after="120"/>
        <w:ind w:firstLine="482"/>
        <w:contextualSpacing/>
        <w:rPr>
          <w:szCs w:val="32"/>
          <w:lang w:val="zh-CN"/>
        </w:rPr>
      </w:pPr>
      <w:r w:rsidRPr="00317E8E">
        <w:rPr>
          <w:rFonts w:hint="eastAsia"/>
          <w:szCs w:val="32"/>
          <w:lang w:val="zh-CN"/>
        </w:rPr>
        <w:t>“十三五”期间，通过全市上下的共同努力，太仓市生态环境质量总体得到改善，大气、水环境质量比“十三五”初期有明显提升，但是部分环境质量指标问题依旧突出。太仓市空气质量优良天数比例（</w:t>
      </w:r>
      <w:r w:rsidRPr="00317E8E">
        <w:rPr>
          <w:rFonts w:hint="eastAsia"/>
          <w:szCs w:val="32"/>
          <w:lang w:val="zh-CN"/>
        </w:rPr>
        <w:t>85.2%</w:t>
      </w:r>
      <w:r w:rsidRPr="00317E8E">
        <w:rPr>
          <w:rFonts w:hint="eastAsia"/>
          <w:szCs w:val="32"/>
          <w:lang w:val="zh-CN"/>
        </w:rPr>
        <w:t>），对标紧邻的上海（</w:t>
      </w:r>
      <w:r w:rsidRPr="00317E8E">
        <w:rPr>
          <w:rFonts w:hint="eastAsia"/>
          <w:szCs w:val="32"/>
          <w:lang w:val="zh-CN"/>
        </w:rPr>
        <w:t>87.2%</w:t>
      </w:r>
      <w:r w:rsidRPr="00317E8E">
        <w:rPr>
          <w:rFonts w:hint="eastAsia"/>
          <w:szCs w:val="32"/>
          <w:lang w:val="zh-CN"/>
        </w:rPr>
        <w:t>）还有一定差距。臭氧浓度近年来整体呈下降趋势，但仍未达到二级标准，已超越</w:t>
      </w:r>
      <w:r w:rsidRPr="00317E8E">
        <w:rPr>
          <w:rFonts w:hint="eastAsia"/>
          <w:szCs w:val="32"/>
          <w:lang w:val="zh-CN"/>
        </w:rPr>
        <w:t>PM</w:t>
      </w:r>
      <w:r w:rsidRPr="0062277F">
        <w:rPr>
          <w:rFonts w:hint="eastAsia"/>
          <w:szCs w:val="32"/>
          <w:vertAlign w:val="subscript"/>
          <w:lang w:val="zh-CN"/>
        </w:rPr>
        <w:t>2.5</w:t>
      </w:r>
      <w:r w:rsidRPr="00317E8E">
        <w:rPr>
          <w:rFonts w:hint="eastAsia"/>
          <w:szCs w:val="32"/>
          <w:lang w:val="zh-CN"/>
        </w:rPr>
        <w:t>成为影响空气质量达标的首要污染物，仍需进一步加强</w:t>
      </w:r>
      <w:r w:rsidRPr="00317E8E">
        <w:rPr>
          <w:rFonts w:hint="eastAsia"/>
          <w:szCs w:val="32"/>
          <w:lang w:val="zh-CN"/>
        </w:rPr>
        <w:t>VOCs</w:t>
      </w:r>
      <w:r w:rsidRPr="00317E8E">
        <w:rPr>
          <w:rFonts w:hint="eastAsia"/>
          <w:szCs w:val="32"/>
          <w:lang w:val="zh-CN"/>
        </w:rPr>
        <w:t>治理的力度。城市区域环境噪声值未达到“十三五”规划设定的目标值，声环境质量仍待提高。部分镇村级河道劣Ⅴ类水体未完全消除</w:t>
      </w:r>
      <w:r w:rsidR="00C82635">
        <w:rPr>
          <w:rFonts w:hint="eastAsia"/>
          <w:szCs w:val="32"/>
          <w:lang w:val="zh-CN"/>
        </w:rPr>
        <w:t>。</w:t>
      </w:r>
    </w:p>
    <w:p w:rsidR="00B373FD">
      <w:pPr>
        <w:pStyle w:val="Heading3"/>
        <w:numPr>
          <w:ilvl w:val="2"/>
          <w:numId w:val="4"/>
        </w:numPr>
        <w:rPr>
          <w:rFonts w:ascii="Times New Roman Regular" w:hAnsi="Times New Roman Regular" w:cs="Times New Roman Regular"/>
        </w:rPr>
      </w:pPr>
      <w:r>
        <w:rPr>
          <w:rFonts w:ascii="Times New Roman Regular" w:hAnsi="Times New Roman Regular" w:cs="Times New Roman Regular"/>
        </w:rPr>
        <w:t>污染防治</w:t>
      </w:r>
      <w:r>
        <w:rPr>
          <w:rFonts w:ascii="Times New Roman Regular" w:hAnsi="Times New Roman Regular" w:cs="Times New Roman Regular" w:hint="eastAsia"/>
        </w:rPr>
        <w:t>综合</w:t>
      </w:r>
      <w:r>
        <w:rPr>
          <w:rFonts w:ascii="Times New Roman Regular" w:hAnsi="Times New Roman Regular" w:cs="Times New Roman Regular"/>
        </w:rPr>
        <w:t>能力尚待提升</w:t>
      </w:r>
    </w:p>
    <w:p w:rsidR="00B373FD">
      <w:pPr>
        <w:tabs>
          <w:tab w:val="left" w:pos="3240"/>
        </w:tabs>
        <w:spacing w:before="120" w:after="120"/>
        <w:ind w:firstLine="482"/>
        <w:contextualSpacing/>
        <w:rPr>
          <w:szCs w:val="32"/>
          <w:lang w:val="zh-CN"/>
        </w:rPr>
      </w:pPr>
      <w:r>
        <w:rPr>
          <w:szCs w:val="32"/>
          <w:lang w:val="zh-CN"/>
        </w:rPr>
        <w:t>各工业园区总体的环境基础设施建设仍较为薄弱，目前</w:t>
      </w:r>
      <w:r>
        <w:rPr>
          <w:szCs w:val="32"/>
          <w:lang w:val="zh-CN"/>
        </w:rPr>
        <w:t>仅有省级以上工业园区建设了配套的工业污水处理设施，需进一步加快其他工业区内工业污水设施的建设，提高废水集中处理能力。生活污水管网尚未全覆盖。我市城乡生活污水处理虽然取得了长足的进步，基本形成覆盖全市城镇建成区的生活污水处理系统，但部分地区农村生活污水管网接管未全部到位，特别是末梢管网建设未全覆盖。固废处理能力需进一步</w:t>
      </w:r>
      <w:r w:rsidR="002101F7">
        <w:rPr>
          <w:rFonts w:hint="eastAsia"/>
          <w:szCs w:val="32"/>
          <w:lang w:val="zh-CN"/>
        </w:rPr>
        <w:t>提高</w:t>
      </w:r>
      <w:r>
        <w:rPr>
          <w:szCs w:val="32"/>
          <w:lang w:val="zh-CN"/>
        </w:rPr>
        <w:t>。太仓生活垃圾产量约</w:t>
      </w:r>
      <w:r>
        <w:rPr>
          <w:szCs w:val="32"/>
          <w:lang w:val="zh-CN"/>
        </w:rPr>
        <w:t>1000</w:t>
      </w:r>
      <w:r>
        <w:rPr>
          <w:szCs w:val="32"/>
          <w:lang w:val="zh-CN"/>
        </w:rPr>
        <w:t>吨</w:t>
      </w:r>
      <w:r>
        <w:rPr>
          <w:szCs w:val="32"/>
          <w:lang w:val="zh-CN"/>
        </w:rPr>
        <w:t>/</w:t>
      </w:r>
      <w:r>
        <w:rPr>
          <w:szCs w:val="32"/>
          <w:lang w:val="zh-CN"/>
        </w:rPr>
        <w:t>天，但终端处置只有协鑫垃圾焚烧发电厂一座，日处理能力为</w:t>
      </w:r>
      <w:r>
        <w:rPr>
          <w:szCs w:val="32"/>
          <w:lang w:val="zh-CN"/>
        </w:rPr>
        <w:t>800</w:t>
      </w:r>
      <w:r>
        <w:rPr>
          <w:szCs w:val="32"/>
          <w:lang w:val="zh-CN"/>
        </w:rPr>
        <w:t>吨</w:t>
      </w:r>
      <w:r>
        <w:rPr>
          <w:szCs w:val="32"/>
          <w:lang w:val="zh-CN"/>
        </w:rPr>
        <w:t>/</w:t>
      </w:r>
      <w:r>
        <w:rPr>
          <w:szCs w:val="32"/>
          <w:lang w:val="zh-CN"/>
        </w:rPr>
        <w:t>天，处置缺口为</w:t>
      </w:r>
      <w:r>
        <w:rPr>
          <w:szCs w:val="32"/>
          <w:lang w:val="zh-CN"/>
        </w:rPr>
        <w:t>200</w:t>
      </w:r>
      <w:r>
        <w:rPr>
          <w:szCs w:val="32"/>
          <w:lang w:val="zh-CN"/>
        </w:rPr>
        <w:t>吨</w:t>
      </w:r>
      <w:r w:rsidR="002101F7">
        <w:rPr>
          <w:rFonts w:hint="eastAsia"/>
          <w:szCs w:val="32"/>
          <w:lang w:val="zh-CN"/>
        </w:rPr>
        <w:t>/</w:t>
      </w:r>
      <w:r w:rsidR="002101F7">
        <w:rPr>
          <w:rFonts w:hint="eastAsia"/>
          <w:szCs w:val="32"/>
          <w:lang w:val="zh-CN"/>
        </w:rPr>
        <w:t>天</w:t>
      </w:r>
      <w:r>
        <w:rPr>
          <w:szCs w:val="32"/>
          <w:lang w:val="zh-CN"/>
        </w:rPr>
        <w:t>。环保监管能力有待加强。全市环境监管网格体系存在着队伍不稳定、职能不清晰、装备设施不足等诸多问题，基层执法力量薄弱，环保部门的执法力量结构呈现</w:t>
      </w:r>
      <w:r>
        <w:rPr>
          <w:szCs w:val="32"/>
          <w:lang w:val="zh-CN"/>
        </w:rPr>
        <w:t>“</w:t>
      </w:r>
      <w:r>
        <w:rPr>
          <w:szCs w:val="32"/>
          <w:lang w:val="zh-CN"/>
        </w:rPr>
        <w:t>倒金字塔</w:t>
      </w:r>
      <w:r>
        <w:rPr>
          <w:szCs w:val="32"/>
          <w:lang w:val="zh-CN"/>
        </w:rPr>
        <w:t>”</w:t>
      </w:r>
      <w:r>
        <w:rPr>
          <w:szCs w:val="32"/>
          <w:lang w:val="zh-CN"/>
        </w:rPr>
        <w:t>型，环境监察精细化管理不到位。</w:t>
      </w:r>
    </w:p>
    <w:p w:rsidR="00B373FD">
      <w:pPr>
        <w:adjustRightInd w:val="0"/>
        <w:snapToGrid w:val="0"/>
        <w:ind w:firstLine="640" w:firstLineChars="200"/>
        <w:rPr>
          <w:rFonts w:ascii="Times New Roman Regular" w:hAnsi="Times New Roman Regular" w:cs="Times New Roman Regular"/>
          <w:highlight w:val="yellow"/>
        </w:rPr>
      </w:pPr>
    </w:p>
    <w:p w:rsidR="00B373FD">
      <w:pPr>
        <w:pStyle w:val="a5"/>
        <w:ind w:firstLine="0" w:firstLineChars="0"/>
        <w:rPr>
          <w:rFonts w:ascii="Times New Roman Regular" w:hAnsi="Times New Roman Regular" w:cs="Times New Roman Regular"/>
        </w:rPr>
        <w:sectPr>
          <w:headerReference w:type="even" r:id="rId38"/>
          <w:headerReference w:type="default" r:id="rId39"/>
          <w:footerReference w:type="default" r:id="rId40"/>
          <w:headerReference w:type="first" r:id="rId41"/>
          <w:pgSz w:w="11906" w:h="16838"/>
          <w:pgMar w:top="1440" w:right="1800" w:bottom="1440" w:left="1800" w:header="851" w:footer="992" w:gutter="0"/>
          <w:cols w:space="720"/>
          <w:docGrid w:type="lines" w:linePitch="312"/>
        </w:sectPr>
      </w:pPr>
    </w:p>
    <w:p w:rsidR="00B373FD">
      <w:pPr>
        <w:pStyle w:val="Heading1"/>
        <w:numPr>
          <w:ilvl w:val="0"/>
          <w:numId w:val="4"/>
        </w:numPr>
        <w:spacing w:before="156" w:after="156"/>
        <w:rPr>
          <w:rFonts w:ascii="Times New Roman Regular" w:hAnsi="Times New Roman Regular" w:cs="Times New Roman Regular"/>
        </w:rPr>
      </w:pPr>
      <w:bookmarkStart w:id="36" w:name="_Toc77862696"/>
      <w:r>
        <w:rPr>
          <w:rFonts w:ascii="Times New Roman Regular" w:hAnsi="Times New Roman Regular" w:cs="Times New Roman Regular"/>
        </w:rPr>
        <w:t>“</w:t>
      </w:r>
      <w:r>
        <w:rPr>
          <w:rFonts w:ascii="Times New Roman Regular" w:hAnsi="Times New Roman Regular" w:cs="Times New Roman Regular"/>
        </w:rPr>
        <w:t>十四五</w:t>
      </w:r>
      <w:r>
        <w:rPr>
          <w:rFonts w:ascii="Times New Roman Regular" w:hAnsi="Times New Roman Regular" w:cs="Times New Roman Regular"/>
        </w:rPr>
        <w:t>”</w:t>
      </w:r>
      <w:r>
        <w:rPr>
          <w:rFonts w:ascii="Times New Roman Regular" w:hAnsi="Times New Roman Regular" w:cs="Times New Roman Regular"/>
        </w:rPr>
        <w:t>生态环境保护形势分析</w:t>
      </w:r>
      <w:bookmarkEnd w:id="36"/>
    </w:p>
    <w:p w:rsidR="00B373FD">
      <w:pPr>
        <w:pStyle w:val="Heading2"/>
        <w:numPr>
          <w:ilvl w:val="1"/>
          <w:numId w:val="4"/>
        </w:numPr>
        <w:spacing w:before="156" w:after="156"/>
        <w:rPr>
          <w:rFonts w:ascii="Times New Roman Regular" w:hAnsi="Times New Roman Regular" w:cs="Times New Roman Regular"/>
        </w:rPr>
      </w:pPr>
      <w:bookmarkStart w:id="37" w:name="_Toc77862697"/>
      <w:r>
        <w:rPr>
          <w:rFonts w:ascii="Times New Roman Regular" w:hAnsi="Times New Roman Regular" w:cs="Times New Roman Regular"/>
        </w:rPr>
        <w:t>面临的机遇</w:t>
      </w:r>
      <w:bookmarkEnd w:id="37"/>
    </w:p>
    <w:p w:rsidR="00B373FD">
      <w:pPr>
        <w:pStyle w:val="Heading3"/>
        <w:numPr>
          <w:ilvl w:val="2"/>
          <w:numId w:val="4"/>
        </w:numPr>
        <w:rPr>
          <w:rFonts w:ascii="Times New Roman Regular" w:hAnsi="Times New Roman Regular" w:cs="Times New Roman Regular"/>
        </w:rPr>
      </w:pPr>
      <w:bookmarkStart w:id="38" w:name="_Toc21958"/>
      <w:r>
        <w:rPr>
          <w:rFonts w:ascii="Times New Roman Regular" w:hAnsi="Times New Roman Regular" w:cs="Times New Roman Regular"/>
        </w:rPr>
        <w:t>生态环境保护始终保持高战略定位</w:t>
      </w:r>
      <w:bookmarkEnd w:id="38"/>
    </w:p>
    <w:p w:rsidR="0062277F" w:rsidP="0062277F">
      <w:pPr>
        <w:tabs>
          <w:tab w:val="left" w:pos="3240"/>
        </w:tabs>
        <w:spacing w:before="120" w:after="120"/>
        <w:ind w:firstLine="482"/>
        <w:contextualSpacing/>
        <w:rPr>
          <w:szCs w:val="32"/>
          <w:lang w:val="zh-CN"/>
        </w:rPr>
      </w:pPr>
      <w:bookmarkStart w:id="39" w:name="_Toc12900"/>
      <w:r>
        <w:rPr>
          <w:szCs w:val="32"/>
          <w:lang w:val="zh-CN"/>
        </w:rPr>
        <w:t>党的十八大以来，以习近平同志为核心的党中央高度重视生态文明建设，开展了一系列根本性、开创性、长远性工作，党的十九大报告提出生态文明建设是中华民族永续发展的千年大计，十三届全国人大一次会议第三次全体会议表决通过了《中华人民共和国宪法修正案》，生态文明历史性地写入宪法，我国生态环境保护发生历史性、转折性、全局性变化。</w:t>
      </w:r>
      <w:r>
        <w:rPr>
          <w:szCs w:val="32"/>
          <w:lang w:val="zh-CN"/>
        </w:rPr>
        <w:t>“</w:t>
      </w:r>
      <w:r>
        <w:rPr>
          <w:szCs w:val="32"/>
          <w:lang w:val="zh-CN"/>
        </w:rPr>
        <w:t>十四五</w:t>
      </w:r>
      <w:r>
        <w:rPr>
          <w:szCs w:val="32"/>
          <w:lang w:val="zh-CN"/>
        </w:rPr>
        <w:t>”</w:t>
      </w:r>
      <w:r>
        <w:rPr>
          <w:szCs w:val="32"/>
          <w:lang w:val="zh-CN"/>
        </w:rPr>
        <w:t>时期，我国将面临不同以往的形势，疫情持续蔓延严重冲击国际社会秩序、经济下行风险加大、转型升级阵痛持续显现、生态环境建设的制约瓶颈愈发凸显。多重压力下，党中央始终保持高度生态环境保护的战略定力，以及强大的污染防治攻坚力度，继续开拓以生态优先、绿色发展为导向的高质量发展新路径。</w:t>
      </w:r>
      <w:r>
        <w:rPr>
          <w:szCs w:val="32"/>
          <w:lang w:val="zh-CN"/>
        </w:rPr>
        <w:t>“</w:t>
      </w:r>
      <w:r>
        <w:rPr>
          <w:szCs w:val="32"/>
          <w:lang w:val="zh-CN"/>
        </w:rPr>
        <w:t>十四五</w:t>
      </w:r>
      <w:r>
        <w:rPr>
          <w:szCs w:val="32"/>
          <w:lang w:val="zh-CN"/>
        </w:rPr>
        <w:t>”</w:t>
      </w:r>
      <w:r>
        <w:rPr>
          <w:szCs w:val="32"/>
          <w:lang w:val="zh-CN"/>
        </w:rPr>
        <w:t>时期，是</w:t>
      </w:r>
      <w:r>
        <w:rPr>
          <w:szCs w:val="32"/>
          <w:lang w:val="zh-CN"/>
        </w:rPr>
        <w:t>“</w:t>
      </w:r>
      <w:r>
        <w:rPr>
          <w:szCs w:val="32"/>
          <w:lang w:val="zh-CN"/>
        </w:rPr>
        <w:t>美丽中国</w:t>
      </w:r>
      <w:r>
        <w:rPr>
          <w:szCs w:val="32"/>
          <w:lang w:val="zh-CN"/>
        </w:rPr>
        <w:t>”</w:t>
      </w:r>
      <w:r>
        <w:rPr>
          <w:szCs w:val="32"/>
          <w:lang w:val="zh-CN"/>
        </w:rPr>
        <w:t>进程中承上启下的重要阶段，新的碳达峰目标、碳中和愿景成为促进经济社会系统性变革的重要推手。这为太仓市</w:t>
      </w:r>
      <w:r>
        <w:rPr>
          <w:szCs w:val="32"/>
          <w:lang w:val="zh-CN"/>
        </w:rPr>
        <w:t>“</w:t>
      </w:r>
      <w:r>
        <w:rPr>
          <w:szCs w:val="32"/>
          <w:lang w:val="zh-CN"/>
        </w:rPr>
        <w:t>十四五</w:t>
      </w:r>
      <w:r>
        <w:rPr>
          <w:szCs w:val="32"/>
          <w:lang w:val="zh-CN"/>
        </w:rPr>
        <w:t>”</w:t>
      </w:r>
      <w:r>
        <w:rPr>
          <w:szCs w:val="32"/>
          <w:lang w:val="zh-CN"/>
        </w:rPr>
        <w:t>时期各项生态环境保护政策的制定及实施提供了根本的政治保障。</w:t>
      </w:r>
    </w:p>
    <w:p w:rsidR="00B373FD">
      <w:pPr>
        <w:pStyle w:val="Heading3"/>
        <w:numPr>
          <w:ilvl w:val="2"/>
          <w:numId w:val="4"/>
        </w:numPr>
        <w:rPr>
          <w:rFonts w:ascii="Times New Roman Regular" w:hAnsi="Times New Roman Regular" w:cs="Times New Roman Regular"/>
        </w:rPr>
      </w:pPr>
      <w:r>
        <w:rPr>
          <w:rFonts w:ascii="Times New Roman Regular" w:hAnsi="Times New Roman Regular" w:cs="Times New Roman Regular"/>
        </w:rPr>
        <w:t>多重战略叠加释放绿色发展合力</w:t>
      </w:r>
      <w:bookmarkEnd w:id="39"/>
    </w:p>
    <w:p w:rsidR="00B373FD">
      <w:pPr>
        <w:ind w:firstLine="640" w:firstLineChars="200"/>
        <w:rPr>
          <w:lang w:val="zh-CN"/>
        </w:rPr>
      </w:pPr>
      <w:bookmarkStart w:id="40" w:name="_Toc17498"/>
      <w:r>
        <w:rPr>
          <w:lang w:val="zh-CN"/>
        </w:rPr>
        <w:t>随着</w:t>
      </w:r>
      <w:r>
        <w:rPr>
          <w:rFonts w:hint="eastAsia"/>
          <w:lang w:val="zh-CN"/>
        </w:rPr>
        <w:t>“</w:t>
      </w:r>
      <w:r>
        <w:rPr>
          <w:lang w:val="zh-CN"/>
        </w:rPr>
        <w:t>一带一路</w:t>
      </w:r>
      <w:r>
        <w:rPr>
          <w:rFonts w:hint="eastAsia"/>
          <w:lang w:val="zh-CN"/>
        </w:rPr>
        <w:t>”</w:t>
      </w:r>
      <w:r>
        <w:rPr>
          <w:lang w:val="zh-CN"/>
        </w:rPr>
        <w:t>、长江经济带发展、长三角区域一体化发展、自贸区建设等多重国家级战略的叠加交汇，各类发展新动能充分涌动、融合放大，为太仓市绿色转型发展带来空</w:t>
      </w:r>
      <w:r>
        <w:rPr>
          <w:lang w:val="zh-CN"/>
        </w:rPr>
        <w:t>前的历史机遇和广阔的进步前景。与此同时，太仓市还是长江大保护重点区域</w:t>
      </w:r>
      <w:r>
        <w:rPr>
          <w:rFonts w:hint="eastAsia"/>
          <w:lang w:val="zh-CN"/>
        </w:rPr>
        <w:t>，</w:t>
      </w:r>
      <w:r>
        <w:rPr>
          <w:lang w:val="zh-CN"/>
        </w:rPr>
        <w:t>国家将保护和修复长江生态环境摆在长江经济带发展工作的</w:t>
      </w:r>
      <w:r>
        <w:rPr>
          <w:rFonts w:hint="eastAsia"/>
        </w:rPr>
        <w:t>压倒性位置</w:t>
      </w:r>
      <w:r>
        <w:rPr>
          <w:lang w:val="zh-CN"/>
        </w:rPr>
        <w:t>，赋予了生态文明建设前所未有的实践意义。在市级层面，苏州明确提出了全域打造成绿色发展高地的转型发展目标，推动绿色产业增量发展、推进生态环境保护与修复、构建现代化环境治理体系和治理能力、提升城市宜居环境品质将成为全市未来的主要工作方向，也将为</w:t>
      </w:r>
      <w:r>
        <w:rPr>
          <w:rFonts w:hint="eastAsia"/>
          <w:lang w:val="zh-CN"/>
        </w:rPr>
        <w:t>“</w:t>
      </w:r>
      <w:r>
        <w:rPr>
          <w:lang w:val="zh-CN"/>
        </w:rPr>
        <w:t>十四五</w:t>
      </w:r>
      <w:r>
        <w:rPr>
          <w:rFonts w:hint="eastAsia"/>
          <w:lang w:val="zh-CN"/>
        </w:rPr>
        <w:t>”</w:t>
      </w:r>
      <w:r>
        <w:rPr>
          <w:lang w:val="zh-CN"/>
        </w:rPr>
        <w:t>时期太仓市生态环境保护工作提供有力支撑。</w:t>
      </w:r>
    </w:p>
    <w:p w:rsidR="00B373FD">
      <w:pPr>
        <w:pStyle w:val="Heading3"/>
        <w:numPr>
          <w:ilvl w:val="2"/>
          <w:numId w:val="4"/>
        </w:numPr>
        <w:rPr>
          <w:rFonts w:ascii="Times New Roman Regular" w:hAnsi="Times New Roman Regular" w:cs="Times New Roman Regular"/>
        </w:rPr>
      </w:pPr>
      <w:r>
        <w:rPr>
          <w:rFonts w:ascii="Times New Roman Regular" w:hAnsi="Times New Roman Regular" w:cs="Times New Roman Regular"/>
        </w:rPr>
        <w:t>治理体系能力现代化建设不断推进</w:t>
      </w:r>
      <w:bookmarkEnd w:id="40"/>
    </w:p>
    <w:p w:rsidR="00B373FD" w:rsidP="0062277F">
      <w:pPr>
        <w:tabs>
          <w:tab w:val="left" w:pos="3240"/>
        </w:tabs>
        <w:spacing w:before="120" w:after="120"/>
        <w:ind w:firstLine="640" w:firstLineChars="200"/>
        <w:contextualSpacing/>
        <w:rPr>
          <w:rFonts w:ascii="Times New Roman Regular" w:hAnsi="Times New Roman Regular" w:cs="Times New Roman Regular"/>
        </w:rPr>
      </w:pPr>
      <w:r>
        <w:rPr>
          <w:szCs w:val="32"/>
          <w:lang w:val="zh-CN"/>
        </w:rPr>
        <w:t>2018</w:t>
      </w:r>
      <w:r>
        <w:rPr>
          <w:szCs w:val="32"/>
          <w:lang w:val="zh-CN"/>
        </w:rPr>
        <w:t>年</w:t>
      </w:r>
      <w:r>
        <w:rPr>
          <w:szCs w:val="32"/>
          <w:lang w:val="zh-CN"/>
        </w:rPr>
        <w:t>5</w:t>
      </w:r>
      <w:r>
        <w:rPr>
          <w:szCs w:val="32"/>
          <w:lang w:val="zh-CN"/>
        </w:rPr>
        <w:t>月，习近平总书记在全国生态环境保护大会上，提出了生态环境领域国家治理体系和治理能力现代化的建设目标。党的十九届四中全会通过《中共中央关于坚持和完善中国特色社会主义制度、推进国家治理体系和治理能力现代化若干重大问题的决定》，第一次系统描绘了中国特色社会主义制度的</w:t>
      </w:r>
      <w:r>
        <w:rPr>
          <w:szCs w:val="32"/>
          <w:lang w:val="zh-CN"/>
        </w:rPr>
        <w:t>“</w:t>
      </w:r>
      <w:r>
        <w:rPr>
          <w:szCs w:val="32"/>
          <w:lang w:val="zh-CN"/>
        </w:rPr>
        <w:t>图谱</w:t>
      </w:r>
      <w:r>
        <w:rPr>
          <w:szCs w:val="32"/>
          <w:lang w:val="zh-CN"/>
        </w:rPr>
        <w:t>”</w:t>
      </w:r>
      <w:r>
        <w:rPr>
          <w:szCs w:val="32"/>
          <w:lang w:val="zh-CN"/>
        </w:rPr>
        <w:t>，并将坚持和完善生态文明制度体系列为其重要组成部分。为全国探路是中央对江苏的一贯要求，</w:t>
      </w:r>
      <w:r>
        <w:rPr>
          <w:szCs w:val="32"/>
          <w:lang w:val="zh-CN"/>
        </w:rPr>
        <w:t>2019</w:t>
      </w:r>
      <w:r>
        <w:rPr>
          <w:szCs w:val="32"/>
          <w:lang w:val="zh-CN"/>
        </w:rPr>
        <w:t>年</w:t>
      </w:r>
      <w:r>
        <w:rPr>
          <w:szCs w:val="32"/>
          <w:lang w:val="zh-CN"/>
        </w:rPr>
        <w:t>3</w:t>
      </w:r>
      <w:r>
        <w:rPr>
          <w:szCs w:val="32"/>
          <w:lang w:val="zh-CN"/>
        </w:rPr>
        <w:t>月</w:t>
      </w:r>
      <w:r>
        <w:rPr>
          <w:szCs w:val="32"/>
          <w:lang w:val="zh-CN"/>
        </w:rPr>
        <w:t>15</w:t>
      </w:r>
      <w:r>
        <w:rPr>
          <w:szCs w:val="32"/>
          <w:lang w:val="zh-CN"/>
        </w:rPr>
        <w:t>日，生态环境部与江苏省人民政府共同签署了《共建生态环境治理体系和治理能力现代化试点省合作框架协议》，江苏成为全国唯一部省共建生态环境治理体系和治理能力现代化试点省，这于全省生态环境保护工作而言将是一次重大的历史机遇，对于探索经济发达地区生态环境与社会经济效益共赢新路径、保持加强生态文明建设的战略定力、打开</w:t>
      </w:r>
      <w:r>
        <w:rPr>
          <w:szCs w:val="32"/>
          <w:lang w:val="zh-CN"/>
        </w:rPr>
        <w:t>“</w:t>
      </w:r>
      <w:r>
        <w:rPr>
          <w:szCs w:val="32"/>
          <w:lang w:val="zh-CN"/>
        </w:rPr>
        <w:t>强富美高</w:t>
      </w:r>
      <w:r>
        <w:rPr>
          <w:szCs w:val="32"/>
          <w:lang w:val="zh-CN"/>
        </w:rPr>
        <w:t>”</w:t>
      </w:r>
      <w:r>
        <w:rPr>
          <w:szCs w:val="32"/>
          <w:lang w:val="zh-CN"/>
        </w:rPr>
        <w:t>新江苏建设新局面具有重要意义。对照</w:t>
      </w:r>
      <w:r>
        <w:rPr>
          <w:szCs w:val="32"/>
          <w:lang w:val="zh-CN"/>
        </w:rPr>
        <w:t>党的十九大提出的新时代新使命新担当，以及争当江苏</w:t>
      </w:r>
      <w:r>
        <w:rPr>
          <w:szCs w:val="32"/>
          <w:lang w:val="zh-CN"/>
        </w:rPr>
        <w:t>“</w:t>
      </w:r>
      <w:r>
        <w:rPr>
          <w:szCs w:val="32"/>
          <w:lang w:val="zh-CN"/>
        </w:rPr>
        <w:t>强富美高</w:t>
      </w:r>
      <w:r>
        <w:rPr>
          <w:szCs w:val="32"/>
          <w:lang w:val="zh-CN"/>
        </w:rPr>
        <w:t>”</w:t>
      </w:r>
      <w:r>
        <w:rPr>
          <w:szCs w:val="32"/>
          <w:lang w:val="zh-CN"/>
        </w:rPr>
        <w:t>先行军排头兵的自我要求，太仓市要积极把握此次试点机遇，努力推进思路创新、技术创新、管理创新，全面提升生态环境治理能力，实现习近平总书记对苏州</w:t>
      </w:r>
      <w:r>
        <w:rPr>
          <w:szCs w:val="32"/>
          <w:lang w:val="zh-CN"/>
        </w:rPr>
        <w:t>“</w:t>
      </w:r>
      <w:r>
        <w:rPr>
          <w:szCs w:val="32"/>
          <w:lang w:val="zh-CN"/>
        </w:rPr>
        <w:t>勾画现代化目标</w:t>
      </w:r>
      <w:r>
        <w:rPr>
          <w:szCs w:val="32"/>
          <w:lang w:val="zh-CN"/>
        </w:rPr>
        <w:t>”</w:t>
      </w:r>
      <w:r>
        <w:rPr>
          <w:szCs w:val="32"/>
          <w:lang w:val="zh-CN"/>
        </w:rPr>
        <w:t>的重要指示。</w:t>
      </w:r>
    </w:p>
    <w:p w:rsidR="00B373FD">
      <w:pPr>
        <w:pStyle w:val="Heading3"/>
        <w:numPr>
          <w:ilvl w:val="2"/>
          <w:numId w:val="4"/>
        </w:numPr>
        <w:rPr>
          <w:rFonts w:ascii="Times New Roman Regular" w:hAnsi="Times New Roman Regular" w:cs="Times New Roman Regular"/>
        </w:rPr>
      </w:pPr>
      <w:bookmarkStart w:id="41" w:name="_Toc8888"/>
      <w:r>
        <w:rPr>
          <w:rFonts w:ascii="Times New Roman Regular" w:hAnsi="Times New Roman Regular" w:cs="Times New Roman Regular"/>
        </w:rPr>
        <w:t>高质量发展进入全面推进阶段</w:t>
      </w:r>
      <w:bookmarkEnd w:id="41"/>
    </w:p>
    <w:p w:rsidR="00B373FD">
      <w:pPr>
        <w:adjustRightInd w:val="0"/>
        <w:snapToGrid w:val="0"/>
        <w:ind w:firstLine="640" w:firstLineChars="200"/>
        <w:rPr>
          <w:rFonts w:ascii="Times New Roman Regular" w:hAnsi="Times New Roman Regular" w:cs="Times New Roman Regular"/>
        </w:rPr>
      </w:pPr>
      <w:r w:rsidRPr="0062277F">
        <w:rPr>
          <w:rFonts w:ascii="Times New Roman Regular" w:hAnsi="Times New Roman Regular" w:cs="Times New Roman Regular" w:hint="eastAsia"/>
          <w:szCs w:val="32"/>
        </w:rPr>
        <w:t>党的十九大明确指出，“我国经济已由高速增长阶段转向高质量发展阶段”。</w:t>
      </w:r>
      <w:r w:rsidRPr="0062277F">
        <w:rPr>
          <w:rFonts w:ascii="Times New Roman Regular" w:hAnsi="Times New Roman Regular" w:cs="Times New Roman Regular" w:hint="eastAsia"/>
          <w:szCs w:val="32"/>
        </w:rPr>
        <w:t>2019</w:t>
      </w:r>
      <w:r w:rsidRPr="0062277F">
        <w:rPr>
          <w:rFonts w:ascii="Times New Roman Regular" w:hAnsi="Times New Roman Regular" w:cs="Times New Roman Regular" w:hint="eastAsia"/>
          <w:szCs w:val="32"/>
        </w:rPr>
        <w:t>年底的中央经济工作会议进一步强调，“推动高质量发展，是当前和今后一个时期确定发展思路、制定经济政策、实施宏观调控的根本要求”。省委十三届三次全会、苏州市委十二届五次全会，分别对全省、全市当前和今后一个时期推进高质量发展走在前列做出了系统部署。当前，太仓市高质量发展已进入全面推进阶段，太仓市有责任、有能力发挥自身优势，积极开辟高质量发展新境界，实现转型升级新飞跃，努力满足人民日益增长的美好生活需求，为促进长三角成为高质量发展集群做好引领示范。</w:t>
      </w:r>
    </w:p>
    <w:p w:rsidR="00B373FD">
      <w:pPr>
        <w:pStyle w:val="Heading2"/>
        <w:numPr>
          <w:ilvl w:val="1"/>
          <w:numId w:val="4"/>
        </w:numPr>
        <w:spacing w:before="156" w:after="156"/>
        <w:rPr>
          <w:rFonts w:ascii="Times New Roman Regular" w:hAnsi="Times New Roman Regular" w:cs="Times New Roman Regular"/>
        </w:rPr>
      </w:pPr>
      <w:bookmarkStart w:id="42" w:name="_Toc77862698"/>
      <w:r>
        <w:rPr>
          <w:rFonts w:ascii="Times New Roman Regular" w:hAnsi="Times New Roman Regular" w:cs="Times New Roman Regular"/>
        </w:rPr>
        <w:t>面临的挑战</w:t>
      </w:r>
      <w:bookmarkEnd w:id="42"/>
    </w:p>
    <w:p w:rsidR="00B373FD">
      <w:pPr>
        <w:pStyle w:val="Heading3"/>
        <w:numPr>
          <w:ilvl w:val="2"/>
          <w:numId w:val="4"/>
        </w:numPr>
        <w:rPr>
          <w:rFonts w:ascii="Times New Roman Regular" w:hAnsi="Times New Roman Regular" w:cs="Times New Roman Regular"/>
        </w:rPr>
      </w:pPr>
      <w:bookmarkStart w:id="43" w:name="_Toc7935"/>
      <w:r>
        <w:rPr>
          <w:rFonts w:ascii="Times New Roman Regular" w:hAnsi="Times New Roman Regular" w:cs="Times New Roman Regular"/>
        </w:rPr>
        <w:t>转型升级任务依然艰巨</w:t>
      </w:r>
      <w:bookmarkEnd w:id="43"/>
    </w:p>
    <w:p w:rsidR="00B373FD">
      <w:pPr>
        <w:ind w:firstLine="640" w:firstLineChars="200"/>
        <w:rPr>
          <w:rFonts w:ascii="Times New Roman Regular" w:hAnsi="Times New Roman Regular" w:cs="Times New Roman Regular"/>
        </w:rPr>
      </w:pPr>
      <w:r w:rsidRPr="008E1AA4">
        <w:rPr>
          <w:rFonts w:ascii="Times New Roman Regular" w:hAnsi="Times New Roman Regular" w:cs="Times New Roman Regular" w:hint="eastAsia"/>
        </w:rPr>
        <w:t>资源能源约束瓶颈凸显，资源能源利用效率不高。能源结构以煤等一次能源消费为主，煤炭在一次性能源消费中的占比仍然较大，高于全省平均水平。发展空间资源严重不足，土地资源已经成为限制太仓经济发展的较大短板。虽然近年来现代制造业发展较快，但是资源密集型产业占有相当比重</w:t>
      </w:r>
      <w:r w:rsidRPr="008E1AA4">
        <w:rPr>
          <w:rFonts w:ascii="Times New Roman Regular" w:hAnsi="Times New Roman Regular" w:cs="Times New Roman Regular" w:hint="eastAsia"/>
        </w:rPr>
        <w:t>的产业结构尚未实现根本转变，土地、能源等资源利用效率与其他先进城市相比仍有较大差距。因此，太仓市距离高质量发展仍有一定的距离，转型升级任务依然严峻</w:t>
      </w:r>
      <w:r w:rsidR="00C82635">
        <w:rPr>
          <w:rFonts w:ascii="Times New Roman Regular" w:hAnsi="Times New Roman Regular" w:cs="Times New Roman Regular"/>
        </w:rPr>
        <w:t>。</w:t>
      </w:r>
    </w:p>
    <w:p w:rsidR="00B373FD">
      <w:pPr>
        <w:pStyle w:val="Heading3"/>
        <w:numPr>
          <w:ilvl w:val="2"/>
          <w:numId w:val="4"/>
        </w:numPr>
        <w:rPr>
          <w:rFonts w:ascii="Times New Roman Regular" w:hAnsi="Times New Roman Regular" w:cs="Times New Roman Regular"/>
        </w:rPr>
      </w:pPr>
      <w:r>
        <w:rPr>
          <w:rFonts w:ascii="Times New Roman Regular" w:hAnsi="Times New Roman Regular" w:cs="Times New Roman Regular"/>
        </w:rPr>
        <w:t>生态环境持续改善进入攻坚期</w:t>
      </w:r>
    </w:p>
    <w:p w:rsidR="00B373FD">
      <w:pPr>
        <w:ind w:firstLine="640" w:firstLineChars="200"/>
        <w:rPr>
          <w:rFonts w:ascii="Times New Roman Regular" w:hAnsi="Times New Roman Regular" w:cs="Times New Roman Regular"/>
        </w:rPr>
      </w:pPr>
      <w:r w:rsidRPr="0062277F">
        <w:rPr>
          <w:rFonts w:ascii="Times New Roman Regular" w:hAnsi="Times New Roman Regular" w:cs="Times New Roman Regular" w:hint="eastAsia"/>
        </w:rPr>
        <w:t>太仓市坚守“蓝天白云、青山绿水”这一底线，严格落实节能、减排两大指标，从不同方面有力保证了太仓市环境质量，太仓市环境状况得到较大的改善。但由于区域经济快速发展、人口增加以及城镇化进程加快等因素的影响，仍存在部分较为突出的环境问题。臭氧浓度的改善将成为下一阶段大气污染控制的重要任务，扬尘污染的控制和管理需进一步加强；镇村级河道水质的改善任务仍然艰巨；区域生态廊道、绿色通道、系统性的城市绿地等生态基础设施的供给仍需加大；土壤的污染问题、工业用地的再开发、再利用等一系列环境风险防控问题仍需重视。随着太仓市经济总量的快速增长，污染减排的压力将不断加大，生态环境持续改善的压力也不断加大</w:t>
      </w:r>
      <w:r w:rsidR="00C82635">
        <w:rPr>
          <w:rFonts w:ascii="Times New Roman Regular" w:hAnsi="Times New Roman Regular" w:cs="Times New Roman Regular"/>
        </w:rPr>
        <w:t>。</w:t>
      </w:r>
    </w:p>
    <w:p w:rsidR="00B373FD">
      <w:pPr>
        <w:pStyle w:val="Heading3"/>
        <w:spacing w:line="560" w:lineRule="exact"/>
        <w:rPr>
          <w:rFonts w:ascii="Times New Roman Regular" w:hAnsi="Times New Roman Regular" w:cs="Times New Roman Regular"/>
        </w:rPr>
      </w:pPr>
      <w:r>
        <w:rPr>
          <w:rFonts w:ascii="Times New Roman Regular" w:hAnsi="Times New Roman Regular" w:cs="Times New Roman Regular"/>
        </w:rPr>
        <w:t>4.2.3</w:t>
      </w:r>
      <w:r>
        <w:rPr>
          <w:rFonts w:ascii="Times New Roman Regular" w:hAnsi="Times New Roman Regular" w:cs="Times New Roman Regular"/>
        </w:rPr>
        <w:t>社会共治体系尚未形成</w:t>
      </w:r>
    </w:p>
    <w:p w:rsidR="00B373FD">
      <w:pPr>
        <w:ind w:firstLine="640" w:firstLineChars="200"/>
        <w:rPr>
          <w:rFonts w:ascii="Times New Roman Regular" w:hAnsi="Times New Roman Regular" w:cs="Times New Roman Regular"/>
        </w:rPr>
        <w:sectPr>
          <w:headerReference w:type="even" r:id="rId42"/>
          <w:headerReference w:type="default" r:id="rId43"/>
          <w:headerReference w:type="first" r:id="rId44"/>
          <w:pgSz w:w="11906" w:h="16838"/>
          <w:pgMar w:top="1440" w:right="1800" w:bottom="1440" w:left="1800" w:header="851" w:footer="992" w:gutter="0"/>
          <w:cols w:space="720"/>
          <w:docGrid w:type="lines" w:linePitch="312"/>
        </w:sectPr>
      </w:pPr>
      <w:r>
        <w:rPr>
          <w:rFonts w:ascii="Times New Roman Regular" w:hAnsi="Times New Roman Regular" w:cs="Times New Roman Regular"/>
        </w:rPr>
        <w:t>目前来看，公众自觉履行环保责任的意识仍较为薄弱，部分企业决策者认为环保治理投资增加企业生产成本、削弱发展竞争力，不能主动承担环保责任；社会公众自觉参与生态环境保护的氛围尚未形成，在消费、出行、生活等方面践行绿色化尚未真正成为人们的行为规范和准则。解决生态环境问题是一个综合性系统工程，在未来，太仓市必须着力构建政府、企业、社会组织和公众共同参与的生态环境治理体</w:t>
      </w:r>
      <w:r>
        <w:rPr>
          <w:rFonts w:ascii="Times New Roman Regular" w:hAnsi="Times New Roman Regular" w:cs="Times New Roman Regular"/>
        </w:rPr>
        <w:t>系，打造社会广泛参与生态环境保护的浓厚氛围。</w:t>
      </w:r>
    </w:p>
    <w:p w:rsidR="00B373FD">
      <w:pPr>
        <w:pStyle w:val="Heading1"/>
        <w:numPr>
          <w:ilvl w:val="0"/>
          <w:numId w:val="4"/>
        </w:numPr>
        <w:spacing w:before="156" w:after="156"/>
        <w:rPr>
          <w:rFonts w:ascii="Times New Roman Regular" w:hAnsi="Times New Roman Regular" w:cs="Times New Roman Regular"/>
        </w:rPr>
      </w:pPr>
      <w:bookmarkStart w:id="44" w:name="_Toc77862699"/>
      <w:r>
        <w:rPr>
          <w:rFonts w:ascii="Times New Roman Regular" w:hAnsi="Times New Roman Regular" w:cs="Times New Roman Regular"/>
        </w:rPr>
        <w:t>“</w:t>
      </w:r>
      <w:r>
        <w:rPr>
          <w:rFonts w:ascii="Times New Roman Regular" w:hAnsi="Times New Roman Regular" w:cs="Times New Roman Regular"/>
        </w:rPr>
        <w:t>十四五</w:t>
      </w:r>
      <w:r>
        <w:rPr>
          <w:rFonts w:ascii="Times New Roman Regular" w:hAnsi="Times New Roman Regular" w:cs="Times New Roman Regular"/>
        </w:rPr>
        <w:t>”</w:t>
      </w:r>
      <w:r>
        <w:rPr>
          <w:rFonts w:ascii="Times New Roman Regular" w:hAnsi="Times New Roman Regular" w:cs="Times New Roman Regular"/>
        </w:rPr>
        <w:t>规划目标与指标体系</w:t>
      </w:r>
      <w:bookmarkEnd w:id="44"/>
    </w:p>
    <w:p w:rsidR="00B373FD">
      <w:pPr>
        <w:pStyle w:val="Heading2"/>
        <w:numPr>
          <w:ilvl w:val="1"/>
          <w:numId w:val="4"/>
        </w:numPr>
        <w:spacing w:before="156" w:after="156"/>
        <w:rPr>
          <w:rFonts w:ascii="Times New Roman Regular" w:hAnsi="Times New Roman Regular" w:cs="Times New Roman Regular"/>
        </w:rPr>
      </w:pPr>
      <w:bookmarkStart w:id="45" w:name="_Toc77862700"/>
      <w:r>
        <w:rPr>
          <w:rFonts w:ascii="Times New Roman Regular" w:hAnsi="Times New Roman Regular" w:cs="Times New Roman Regular"/>
        </w:rPr>
        <w:t>指导思想</w:t>
      </w:r>
      <w:bookmarkEnd w:id="45"/>
    </w:p>
    <w:p w:rsidR="00B373FD" w:rsidP="00716193">
      <w:pPr>
        <w:adjustRightInd w:val="0"/>
        <w:snapToGrid w:val="0"/>
        <w:spacing w:line="550" w:lineRule="exact"/>
        <w:ind w:firstLine="640" w:firstLineChars="200"/>
        <w:rPr>
          <w:rFonts w:ascii="Times New Roman Regular" w:hAnsi="Times New Roman Regular" w:cs="Times New Roman Regular"/>
        </w:rPr>
      </w:pPr>
      <w:r w:rsidRPr="008E1AA4">
        <w:rPr>
          <w:rFonts w:ascii="Times New Roman Regular" w:hAnsi="Times New Roman Regular" w:cs="Times New Roman Regular" w:hint="eastAsia"/>
        </w:rPr>
        <w:t>坚持以习近平新时代中国特色社会主义思想为指导，全面贯彻落实党的十九大和十九届二中、三中、四中、五中全会精神，深入贯彻习近平生态文明思想和总书记对江苏工作的重要指示批示精神，紧紧围绕推进“五位一体”总体布局和协调推进“四个全面”战略布局，牢固树立新发展理念，以改善环境质量为核心，以碳达峰、碳中和为引领，以减污降碳协同治理为抓手，以源头治理为根本策略，更加突出“精准治污、科学治污、依法治污”，聚焦突出短板问题，统筹山水林田湖草整体保护，实施最严格的生态环境保护制度，强化环境管理系统化、科学化、法制化、精细化和信息化，协同推进经济高质量和生态环境高水平保护。持续秉持“生态先行”的使命，以更高标准，绘就太仓环境新画卷，奋力谱写高质量建设“两地两城”新篇章，在开启现代化建设新征程中走在全省全国前列</w:t>
      </w:r>
      <w:r w:rsidR="00C82635">
        <w:rPr>
          <w:rFonts w:ascii="Times New Roman Regular" w:hAnsi="Times New Roman Regular" w:cs="Times New Roman Regular"/>
          <w:color w:val="000000"/>
          <w:spacing w:val="6"/>
          <w:kern w:val="0"/>
          <w:szCs w:val="32"/>
        </w:rPr>
        <w:t>。</w:t>
      </w:r>
    </w:p>
    <w:p w:rsidR="00B373FD" w:rsidP="00716193">
      <w:pPr>
        <w:pStyle w:val="Heading2"/>
        <w:numPr>
          <w:ilvl w:val="1"/>
          <w:numId w:val="4"/>
        </w:numPr>
        <w:spacing w:before="156" w:after="156" w:line="550" w:lineRule="exact"/>
        <w:rPr>
          <w:rFonts w:ascii="Times New Roman Regular" w:hAnsi="Times New Roman Regular" w:cs="Times New Roman Regular"/>
        </w:rPr>
      </w:pPr>
      <w:bookmarkStart w:id="46" w:name="_Toc77862701"/>
      <w:r>
        <w:rPr>
          <w:rFonts w:ascii="Times New Roman Regular" w:hAnsi="Times New Roman Regular" w:cs="Times New Roman Regular"/>
        </w:rPr>
        <w:t>基本原则</w:t>
      </w:r>
      <w:bookmarkEnd w:id="46"/>
    </w:p>
    <w:p w:rsidR="00B373FD" w:rsidP="00716193">
      <w:pPr>
        <w:spacing w:line="550" w:lineRule="exact"/>
        <w:ind w:firstLine="640" w:firstLineChars="200"/>
        <w:rPr>
          <w:rFonts w:ascii="Times New Roman Regular" w:hAnsi="Times New Roman Regular" w:cs="Times New Roman Regular"/>
        </w:rPr>
      </w:pPr>
      <w:r>
        <w:rPr>
          <w:rFonts w:ascii="Times New Roman Regular" w:hAnsi="Times New Roman Regular" w:cs="Times New Roman Regular"/>
          <w:b/>
          <w:bCs/>
        </w:rPr>
        <w:t>战略引领，问题导向。</w:t>
      </w:r>
      <w:r>
        <w:rPr>
          <w:rFonts w:ascii="Times New Roman Regular" w:hAnsi="Times New Roman Regular" w:cs="Times New Roman Regular"/>
        </w:rPr>
        <w:t>围绕长三角一体化战略发展、长江经济带等重大战略决策，科学谋划未来生态环境保护的战略布局、目标指标和重点任务。聚焦新时期突出生态环境问题和短板，分类施策、精准发力，科学部署生态环境保护任务举措和重点工程，切实提升全市生态环境质量。</w:t>
      </w:r>
    </w:p>
    <w:p w:rsidR="00B373FD" w:rsidP="00716193">
      <w:pPr>
        <w:spacing w:line="550" w:lineRule="exact"/>
        <w:ind w:firstLine="640" w:firstLineChars="200"/>
        <w:rPr>
          <w:rFonts w:ascii="Times New Roman Regular" w:hAnsi="Times New Roman Regular" w:cs="Times New Roman Regular"/>
        </w:rPr>
      </w:pPr>
      <w:r>
        <w:rPr>
          <w:rFonts w:ascii="Times New Roman Regular" w:hAnsi="Times New Roman Regular" w:cs="Times New Roman Regular"/>
          <w:b/>
          <w:bCs/>
        </w:rPr>
        <w:t>生态优先，绿色发展。</w:t>
      </w:r>
      <w:r>
        <w:rPr>
          <w:rFonts w:ascii="Times New Roman Regular" w:hAnsi="Times New Roman Regular" w:cs="Times New Roman Regular"/>
        </w:rPr>
        <w:t>牢固树立</w:t>
      </w:r>
      <w:r>
        <w:rPr>
          <w:rFonts w:ascii="Times New Roman Regular" w:hAnsi="Times New Roman Regular" w:cs="Times New Roman Regular"/>
        </w:rPr>
        <w:t>“</w:t>
      </w:r>
      <w:r>
        <w:rPr>
          <w:rFonts w:ascii="Times New Roman Regular" w:hAnsi="Times New Roman Regular" w:cs="Times New Roman Regular"/>
        </w:rPr>
        <w:t>绿水青山就是金山银</w:t>
      </w:r>
      <w:r>
        <w:rPr>
          <w:rFonts w:ascii="Times New Roman Regular" w:hAnsi="Times New Roman Regular" w:cs="Times New Roman Regular"/>
        </w:rPr>
        <w:t>山</w:t>
      </w:r>
      <w:r>
        <w:rPr>
          <w:rFonts w:ascii="Times New Roman Regular" w:hAnsi="Times New Roman Regular" w:cs="Times New Roman Regular"/>
        </w:rPr>
        <w:t>”</w:t>
      </w:r>
      <w:r>
        <w:rPr>
          <w:rFonts w:ascii="Times New Roman Regular" w:hAnsi="Times New Roman Regular" w:cs="Times New Roman Regular"/>
        </w:rPr>
        <w:t>理念，推进太仓高质量发展，加大长江重点流域生态环境保护修复，将地区生态优势与产业发展、城市建设和乡村振兴等有机融合，统筹推进经济高质量发展和生态环境高水平保护。</w:t>
      </w:r>
    </w:p>
    <w:p w:rsidR="00B373FD" w:rsidP="00716193">
      <w:pPr>
        <w:spacing w:line="550" w:lineRule="exact"/>
        <w:ind w:firstLine="640" w:firstLineChars="200"/>
        <w:rPr>
          <w:rFonts w:ascii="Times New Roman Regular" w:hAnsi="Times New Roman Regular" w:cs="Times New Roman Regular"/>
        </w:rPr>
      </w:pPr>
      <w:r>
        <w:rPr>
          <w:rFonts w:ascii="Times New Roman Regular" w:hAnsi="Times New Roman Regular" w:cs="Times New Roman Regular"/>
          <w:b/>
          <w:bCs/>
        </w:rPr>
        <w:t>改革创新，彰显特色。</w:t>
      </w:r>
      <w:r>
        <w:rPr>
          <w:rFonts w:ascii="Times New Roman Regular" w:hAnsi="Times New Roman Regular" w:cs="Times New Roman Regular"/>
        </w:rPr>
        <w:t>实行最严格的生态环境保护制度，加快推进重点领域、关键环节体制机制改革，充分体现质量和创新驱动的特色，大力推进生态环保科技创新体系建设，充分调动企业技术创新活力，带动生态环保产业创新发展，探索具有太仓特色的生态环境保护制度体系。</w:t>
      </w:r>
    </w:p>
    <w:p w:rsidR="00B373FD" w:rsidP="00716193">
      <w:pPr>
        <w:spacing w:line="550" w:lineRule="exact"/>
        <w:ind w:firstLine="640" w:firstLineChars="200"/>
        <w:rPr>
          <w:rFonts w:ascii="Times New Roman Regular" w:hAnsi="Times New Roman Regular" w:cs="Times New Roman Regular"/>
        </w:rPr>
      </w:pPr>
      <w:r>
        <w:rPr>
          <w:rFonts w:ascii="Times New Roman Regular" w:hAnsi="Times New Roman Regular" w:cs="Times New Roman Regular"/>
          <w:b/>
          <w:bCs/>
        </w:rPr>
        <w:t>政府主导，共享共治。</w:t>
      </w:r>
      <w:r>
        <w:rPr>
          <w:rFonts w:ascii="Times New Roman Regular" w:hAnsi="Times New Roman Regular" w:cs="Times New Roman Regular"/>
        </w:rPr>
        <w:t>综合运用政府</w:t>
      </w:r>
      <w:r>
        <w:rPr>
          <w:rFonts w:ascii="Times New Roman Regular" w:hAnsi="Times New Roman Regular" w:cs="Times New Roman Regular"/>
        </w:rPr>
        <w:t>“</w:t>
      </w:r>
      <w:r>
        <w:rPr>
          <w:rFonts w:ascii="Times New Roman Regular" w:hAnsi="Times New Roman Regular" w:cs="Times New Roman Regular"/>
        </w:rPr>
        <w:t>有形之手</w:t>
      </w:r>
      <w:r>
        <w:rPr>
          <w:rFonts w:ascii="Times New Roman Regular" w:hAnsi="Times New Roman Regular" w:cs="Times New Roman Regular"/>
        </w:rPr>
        <w:t>”</w:t>
      </w:r>
      <w:r>
        <w:rPr>
          <w:rFonts w:ascii="Times New Roman Regular" w:hAnsi="Times New Roman Regular" w:cs="Times New Roman Regular"/>
        </w:rPr>
        <w:t>、市场</w:t>
      </w:r>
      <w:r>
        <w:rPr>
          <w:rFonts w:ascii="Times New Roman Regular" w:hAnsi="Times New Roman Regular" w:cs="Times New Roman Regular"/>
        </w:rPr>
        <w:t>“</w:t>
      </w:r>
      <w:r>
        <w:rPr>
          <w:rFonts w:ascii="Times New Roman Regular" w:hAnsi="Times New Roman Regular" w:cs="Times New Roman Regular"/>
        </w:rPr>
        <w:t>无形之手</w:t>
      </w:r>
      <w:r>
        <w:rPr>
          <w:rFonts w:ascii="Times New Roman Regular" w:hAnsi="Times New Roman Regular" w:cs="Times New Roman Regular"/>
        </w:rPr>
        <w:t>”</w:t>
      </w:r>
      <w:r>
        <w:rPr>
          <w:rFonts w:ascii="Times New Roman Regular" w:hAnsi="Times New Roman Regular" w:cs="Times New Roman Regular"/>
        </w:rPr>
        <w:t>和社会</w:t>
      </w:r>
      <w:r>
        <w:rPr>
          <w:rFonts w:ascii="Times New Roman Regular" w:hAnsi="Times New Roman Regular" w:cs="Times New Roman Regular"/>
        </w:rPr>
        <w:t>“</w:t>
      </w:r>
      <w:r>
        <w:rPr>
          <w:rFonts w:ascii="Times New Roman Regular" w:hAnsi="Times New Roman Regular" w:cs="Times New Roman Regular"/>
        </w:rPr>
        <w:t>自治之手</w:t>
      </w:r>
      <w:r>
        <w:rPr>
          <w:rFonts w:ascii="Times New Roman Regular" w:hAnsi="Times New Roman Regular" w:cs="Times New Roman Regular"/>
        </w:rPr>
        <w:t>”</w:t>
      </w:r>
      <w:r>
        <w:rPr>
          <w:rFonts w:ascii="Times New Roman Regular" w:hAnsi="Times New Roman Regular" w:cs="Times New Roman Regular"/>
        </w:rPr>
        <w:t>，建立健全紧密联系的制度框架，对政府、企业和社会的生态环境行为进行有效规范、引导和监督。加强政府和企事业单位环境信息公开，强化环境监管执法，构筑多渠道公众参与机制，形成多元主体参与及多方互动的生态环境治理模式。</w:t>
      </w:r>
    </w:p>
    <w:p w:rsidR="00B373FD" w:rsidP="00716193">
      <w:pPr>
        <w:pStyle w:val="Heading2"/>
        <w:numPr>
          <w:ilvl w:val="1"/>
          <w:numId w:val="4"/>
        </w:numPr>
        <w:spacing w:before="156" w:after="156" w:line="550" w:lineRule="exact"/>
        <w:rPr>
          <w:rFonts w:ascii="Times New Roman Regular" w:hAnsi="Times New Roman Regular" w:cs="Times New Roman Regular"/>
        </w:rPr>
      </w:pPr>
      <w:bookmarkStart w:id="47" w:name="_Toc77862702"/>
      <w:r>
        <w:rPr>
          <w:rFonts w:ascii="Times New Roman Regular" w:hAnsi="Times New Roman Regular" w:cs="Times New Roman Regular"/>
        </w:rPr>
        <w:t>总体目标</w:t>
      </w:r>
      <w:bookmarkEnd w:id="47"/>
    </w:p>
    <w:p w:rsidR="008E1AA4" w:rsidRPr="008E1AA4" w:rsidP="008E1AA4">
      <w:pPr>
        <w:spacing w:line="550" w:lineRule="exact"/>
        <w:ind w:firstLine="640" w:firstLineChars="200"/>
        <w:rPr>
          <w:rFonts w:ascii="Times New Roman Regular" w:hAnsi="Times New Roman Regular" w:cs="Times New Roman Regular"/>
        </w:rPr>
      </w:pPr>
      <w:r w:rsidRPr="008E1AA4">
        <w:rPr>
          <w:rFonts w:ascii="Times New Roman Regular" w:hAnsi="Times New Roman Regular" w:cs="Times New Roman Regular" w:hint="eastAsia"/>
        </w:rPr>
        <w:t>展望</w:t>
      </w:r>
      <w:r w:rsidRPr="008E1AA4">
        <w:rPr>
          <w:rFonts w:ascii="Times New Roman Regular" w:hAnsi="Times New Roman Regular" w:cs="Times New Roman Regular" w:hint="eastAsia"/>
        </w:rPr>
        <w:t>2035</w:t>
      </w:r>
      <w:r w:rsidRPr="008E1AA4">
        <w:rPr>
          <w:rFonts w:ascii="Times New Roman Regular" w:hAnsi="Times New Roman Regular" w:cs="Times New Roman Regular" w:hint="eastAsia"/>
        </w:rPr>
        <w:t>年，广泛形成绿色生产生活方式，碳排放提前达峰后持续下降，生态环境根本好转；节约资源和保护环境的空间格局、产业结构、生产方式、生活方式总体形成，绿色低碳发展和应对气候变化能力显著增强；空气质量根本改善，水环境质量全面提升，水生态恢复取得明显成效，土壤环境安全得到有效保障，环境风险得到全面管控，山水林田湖草生态系统服务功能总体恢复，蓝天白云、绿水青山成为常态，基本满足人民对优美生态环境的需要；生态环境保护</w:t>
      </w:r>
      <w:r w:rsidRPr="008E1AA4">
        <w:rPr>
          <w:rFonts w:ascii="Times New Roman Regular" w:hAnsi="Times New Roman Regular" w:cs="Times New Roman Regular" w:hint="eastAsia"/>
        </w:rPr>
        <w:t>管理制度健全高效，生态环境治理体系和治理能力现代化水平位居全国前列。</w:t>
      </w:r>
    </w:p>
    <w:p w:rsidR="00B373FD" w:rsidRPr="00205151" w:rsidP="008E1AA4">
      <w:pPr>
        <w:spacing w:line="550" w:lineRule="exact"/>
        <w:ind w:firstLine="640" w:firstLineChars="200"/>
        <w:rPr>
          <w:rFonts w:ascii="Times New Roman Regular" w:hAnsi="Times New Roman Regular" w:cs="Times New Roman Regular"/>
        </w:rPr>
      </w:pPr>
      <w:r w:rsidRPr="008E1AA4">
        <w:rPr>
          <w:rFonts w:ascii="Times New Roman Regular" w:hAnsi="Times New Roman Regular" w:cs="Times New Roman Regular" w:hint="eastAsia"/>
        </w:rPr>
        <w:t>到</w:t>
      </w:r>
      <w:r w:rsidRPr="008E1AA4">
        <w:rPr>
          <w:rFonts w:ascii="Times New Roman Regular" w:hAnsi="Times New Roman Regular" w:cs="Times New Roman Regular" w:hint="eastAsia"/>
        </w:rPr>
        <w:t>2025</w:t>
      </w:r>
      <w:r w:rsidRPr="008E1AA4">
        <w:rPr>
          <w:rFonts w:ascii="Times New Roman Regular" w:hAnsi="Times New Roman Regular" w:cs="Times New Roman Regular" w:hint="eastAsia"/>
        </w:rPr>
        <w:t>年，全市生态环境保护取得新进步、生态文明建设迈上新台阶，紧扣“现代田园城、幸福金太仓”和高质量建设“两地两城”目标定位，以优化空间布局为基础，以改善生态环境为重点，以绿色可持续发展为支撑，以美丽宜居城市和美丽镇村建设为主抓手，促进人与自然和谐共生</w:t>
      </w:r>
      <w:r w:rsidRPr="00205151" w:rsidR="00C82635">
        <w:rPr>
          <w:rFonts w:ascii="Times New Roman Regular" w:hAnsi="Times New Roman Regular" w:cs="Times New Roman Regular"/>
        </w:rPr>
        <w:t>。</w:t>
      </w:r>
    </w:p>
    <w:p w:rsidR="00B373FD" w:rsidP="00716193">
      <w:pPr>
        <w:spacing w:line="550" w:lineRule="exact"/>
        <w:ind w:firstLine="640" w:firstLineChars="200"/>
        <w:rPr>
          <w:rFonts w:ascii="Times New Roman Regular" w:hAnsi="Times New Roman Regular" w:cs="Times New Roman Regular"/>
          <w:szCs w:val="32"/>
          <w:lang w:val="zh-CN"/>
        </w:rPr>
      </w:pPr>
      <w:r>
        <w:rPr>
          <w:rFonts w:ascii="Times New Roman Regular" w:hAnsi="Times New Roman Regular" w:cs="Times New Roman Regular"/>
          <w:b/>
          <w:szCs w:val="32"/>
        </w:rPr>
        <w:t>——</w:t>
      </w:r>
      <w:r>
        <w:rPr>
          <w:rFonts w:ascii="Times New Roman Regular" w:hAnsi="Times New Roman Regular" w:cs="Times New Roman Regular"/>
          <w:b/>
          <w:bCs/>
          <w:szCs w:val="32"/>
          <w:lang w:val="zh-CN"/>
        </w:rPr>
        <w:t>绿色发展活力持续提升。</w:t>
      </w:r>
      <w:r>
        <w:rPr>
          <w:rFonts w:ascii="Times New Roman Regular" w:hAnsi="Times New Roman Regular" w:cs="Times New Roman Regular"/>
          <w:szCs w:val="32"/>
          <w:lang w:val="zh-CN"/>
        </w:rPr>
        <w:t>生态环境承载力约束机制基本形成，绿色低碳循环发展的经济体系逐步健全，能源资源配置更加合理、利用效率明显提高，碳排放强度持续降低，简约适度、绿色低碳的生活方式加快形成。</w:t>
      </w:r>
    </w:p>
    <w:p w:rsidR="00B373FD" w:rsidP="00716193">
      <w:pPr>
        <w:spacing w:line="550" w:lineRule="exact"/>
        <w:ind w:firstLine="640" w:firstLineChars="200"/>
        <w:rPr>
          <w:rFonts w:ascii="Times New Roman Regular" w:hAnsi="Times New Roman Regular" w:cs="Times New Roman Regular"/>
          <w:szCs w:val="32"/>
          <w:lang w:val="zh-CN"/>
        </w:rPr>
      </w:pPr>
      <w:r>
        <w:rPr>
          <w:rFonts w:ascii="Times New Roman Regular" w:hAnsi="Times New Roman Regular" w:cs="Times New Roman Regular"/>
          <w:b/>
          <w:szCs w:val="32"/>
        </w:rPr>
        <w:t>——</w:t>
      </w:r>
      <w:r>
        <w:rPr>
          <w:rFonts w:ascii="Times New Roman Regular" w:hAnsi="Times New Roman Regular" w:cs="Times New Roman Regular"/>
          <w:b/>
          <w:bCs/>
          <w:szCs w:val="32"/>
          <w:lang w:val="zh-CN"/>
        </w:rPr>
        <w:t>生态环境质量明显改善。</w:t>
      </w:r>
      <w:r>
        <w:rPr>
          <w:rFonts w:ascii="Times New Roman Regular" w:hAnsi="Times New Roman Regular" w:cs="Times New Roman Regular"/>
          <w:szCs w:val="32"/>
          <w:lang w:val="zh-CN"/>
        </w:rPr>
        <w:t>空气环境质量稳步提升，空气质量优良天数比例达到</w:t>
      </w:r>
      <w:r w:rsidRPr="00993048">
        <w:rPr>
          <w:szCs w:val="32"/>
          <w:lang w:val="zh-CN"/>
        </w:rPr>
        <w:t>86%</w:t>
      </w:r>
      <w:r w:rsidR="008E1AA4">
        <w:rPr>
          <w:szCs w:val="32"/>
          <w:lang w:val="zh-CN"/>
        </w:rPr>
        <w:t>以上</w:t>
      </w:r>
      <w:r>
        <w:rPr>
          <w:rFonts w:ascii="Times New Roman Regular" w:hAnsi="Times New Roman Regular" w:cs="Times New Roman Regular"/>
          <w:szCs w:val="32"/>
          <w:lang w:val="zh-CN"/>
        </w:rPr>
        <w:t>，</w:t>
      </w:r>
      <w:r>
        <w:rPr>
          <w:rFonts w:ascii="Times New Roman Regular" w:hAnsi="Times New Roman Regular" w:cs="Times New Roman Regular"/>
          <w:szCs w:val="32"/>
          <w:lang w:val="zh-CN"/>
        </w:rPr>
        <w:t>PM</w:t>
      </w:r>
      <w:r>
        <w:rPr>
          <w:rFonts w:ascii="Times New Roman Regular" w:hAnsi="Times New Roman Regular" w:cs="Times New Roman Regular"/>
          <w:szCs w:val="32"/>
          <w:vertAlign w:val="subscript"/>
          <w:lang w:val="zh-CN"/>
        </w:rPr>
        <w:t>2.5</w:t>
      </w:r>
      <w:r>
        <w:rPr>
          <w:rFonts w:ascii="Times New Roman Regular" w:hAnsi="Times New Roman Regular" w:cs="Times New Roman Regular"/>
          <w:szCs w:val="32"/>
          <w:lang w:val="zh-CN"/>
        </w:rPr>
        <w:t>年均浓度控制在</w:t>
      </w:r>
      <w:r w:rsidR="008E1AA4">
        <w:rPr>
          <w:szCs w:val="32"/>
          <w:lang w:val="zh-CN"/>
        </w:rPr>
        <w:t>25</w:t>
      </w:r>
      <w:r>
        <w:rPr>
          <w:rFonts w:ascii="Times New Roman Regular" w:hAnsi="Times New Roman Regular" w:cs="Times New Roman Regular"/>
          <w:szCs w:val="32"/>
          <w:lang w:val="zh-CN"/>
        </w:rPr>
        <w:t>微克</w:t>
      </w:r>
      <w:r>
        <w:rPr>
          <w:rFonts w:ascii="Times New Roman Regular" w:hAnsi="Times New Roman Regular" w:cs="Times New Roman Regular"/>
          <w:szCs w:val="32"/>
          <w:lang w:val="zh-CN"/>
        </w:rPr>
        <w:t>/</w:t>
      </w:r>
      <w:r>
        <w:rPr>
          <w:rFonts w:ascii="Times New Roman Regular" w:hAnsi="Times New Roman Regular" w:cs="Times New Roman Regular"/>
          <w:szCs w:val="32"/>
          <w:lang w:val="zh-CN"/>
        </w:rPr>
        <w:t>立方米；水环境质量显著改善，地表水省考以上断面水质达到或优于</w:t>
      </w:r>
      <w:r>
        <w:rPr>
          <w:rFonts w:ascii="Times New Roman Regular" w:hAnsi="Times New Roman Regular" w:cs="Times New Roman Regular"/>
          <w:szCs w:val="32"/>
          <w:lang w:val="zh-CN"/>
        </w:rPr>
        <w:t>Ⅲ</w:t>
      </w:r>
      <w:r>
        <w:rPr>
          <w:rFonts w:ascii="Times New Roman Regular" w:hAnsi="Times New Roman Regular" w:cs="Times New Roman Regular"/>
          <w:szCs w:val="32"/>
          <w:lang w:val="zh-CN"/>
        </w:rPr>
        <w:t>类比例达到</w:t>
      </w:r>
      <w:r w:rsidRPr="00993048">
        <w:rPr>
          <w:szCs w:val="32"/>
          <w:lang w:val="zh-CN"/>
        </w:rPr>
        <w:t>100%</w:t>
      </w:r>
      <w:r>
        <w:rPr>
          <w:rFonts w:ascii="Times New Roman Regular" w:hAnsi="Times New Roman Regular" w:cs="Times New Roman Regular"/>
          <w:szCs w:val="32"/>
          <w:lang w:val="zh-CN"/>
        </w:rPr>
        <w:t>，集中式饮用水水源地达到或优于</w:t>
      </w:r>
      <w:r>
        <w:rPr>
          <w:rFonts w:ascii="Times New Roman Regular" w:hAnsi="Times New Roman Regular" w:cs="Times New Roman Regular"/>
          <w:szCs w:val="32"/>
          <w:lang w:val="zh-CN"/>
        </w:rPr>
        <w:t>Ⅲ</w:t>
      </w:r>
      <w:r>
        <w:rPr>
          <w:rFonts w:ascii="Times New Roman Regular" w:hAnsi="Times New Roman Regular" w:cs="Times New Roman Regular"/>
          <w:szCs w:val="32"/>
          <w:lang w:val="zh-CN"/>
        </w:rPr>
        <w:t>类比例为</w:t>
      </w:r>
      <w:r w:rsidRPr="00993048">
        <w:rPr>
          <w:szCs w:val="32"/>
          <w:lang w:val="zh-CN"/>
        </w:rPr>
        <w:t>100%</w:t>
      </w:r>
      <w:r>
        <w:rPr>
          <w:rFonts w:ascii="Times New Roman Regular" w:hAnsi="Times New Roman Regular" w:cs="Times New Roman Regular"/>
          <w:szCs w:val="32"/>
          <w:lang w:val="zh-CN"/>
        </w:rPr>
        <w:t>；完成省下达的地下水防治任务，地下水环境质量不下降；主要污染物减排完成省、市下达的目标。</w:t>
      </w:r>
    </w:p>
    <w:p w:rsidR="00B373FD" w:rsidP="00716193">
      <w:pPr>
        <w:spacing w:line="550" w:lineRule="exact"/>
        <w:ind w:firstLine="640" w:firstLineChars="200"/>
        <w:rPr>
          <w:rFonts w:ascii="Times New Roman Regular" w:hAnsi="Times New Roman Regular" w:cs="Times New Roman Regular"/>
          <w:szCs w:val="32"/>
          <w:lang w:val="zh-CN"/>
        </w:rPr>
      </w:pPr>
      <w:r>
        <w:rPr>
          <w:rFonts w:ascii="Times New Roman Regular" w:hAnsi="Times New Roman Regular" w:cs="Times New Roman Regular"/>
          <w:b/>
          <w:szCs w:val="32"/>
        </w:rPr>
        <w:t>——</w:t>
      </w:r>
      <w:r>
        <w:rPr>
          <w:rFonts w:ascii="Times New Roman Regular" w:hAnsi="Times New Roman Regular" w:cs="Times New Roman Regular"/>
          <w:b/>
          <w:bCs/>
          <w:szCs w:val="32"/>
          <w:lang w:val="zh-CN"/>
        </w:rPr>
        <w:t>环境风险得到全面管控。</w:t>
      </w:r>
      <w:r>
        <w:rPr>
          <w:rFonts w:ascii="Times New Roman Regular" w:hAnsi="Times New Roman Regular" w:cs="Times New Roman Regular"/>
          <w:szCs w:val="32"/>
          <w:lang w:val="zh-CN"/>
        </w:rPr>
        <w:t>土壤安全利用水平巩固提升，全市受污染耕地安全利用率</w:t>
      </w:r>
      <w:r w:rsidR="00016E1E">
        <w:rPr>
          <w:rFonts w:ascii="Times New Roman Regular" w:hAnsi="Times New Roman Regular" w:cs="Times New Roman Regular" w:hint="eastAsia"/>
          <w:szCs w:val="32"/>
          <w:lang w:val="zh-CN"/>
        </w:rPr>
        <w:t>和</w:t>
      </w:r>
      <w:r w:rsidR="00016E1E">
        <w:rPr>
          <w:rFonts w:ascii="Times New Roman Regular" w:hAnsi="Times New Roman Regular" w:cs="Times New Roman Regular"/>
          <w:szCs w:val="32"/>
          <w:lang w:val="zh-CN"/>
        </w:rPr>
        <w:t>重点建设用地</w:t>
      </w:r>
      <w:r>
        <w:rPr>
          <w:rFonts w:ascii="Times New Roman Regular" w:hAnsi="Times New Roman Regular" w:cs="Times New Roman Regular"/>
          <w:szCs w:val="32"/>
          <w:lang w:val="zh-CN"/>
        </w:rPr>
        <w:t>安全利用率达到</w:t>
      </w:r>
      <w:r w:rsidR="00016E1E">
        <w:rPr>
          <w:rFonts w:hint="eastAsia"/>
          <w:szCs w:val="32"/>
          <w:lang w:val="zh-CN"/>
        </w:rPr>
        <w:t>上级</w:t>
      </w:r>
      <w:r w:rsidR="00016E1E">
        <w:rPr>
          <w:szCs w:val="32"/>
          <w:lang w:val="zh-CN"/>
        </w:rPr>
        <w:t>要求</w:t>
      </w:r>
      <w:r>
        <w:rPr>
          <w:rFonts w:ascii="Times New Roman Regular" w:hAnsi="Times New Roman Regular" w:cs="Times New Roman Regular"/>
          <w:szCs w:val="32"/>
          <w:lang w:val="zh-CN"/>
        </w:rPr>
        <w:t>，农用地和建设用地环境安全得到有效保障，固体废物与化学物质环境风险防控能力明显增强，核与辐射安全监管持续加强。</w:t>
      </w:r>
    </w:p>
    <w:p w:rsidR="00B373FD" w:rsidP="00716193">
      <w:pPr>
        <w:spacing w:line="550" w:lineRule="exact"/>
        <w:ind w:firstLine="640" w:firstLineChars="200"/>
        <w:rPr>
          <w:rFonts w:ascii="Times New Roman Regular" w:hAnsi="Times New Roman Regular" w:cs="Times New Roman Regular"/>
          <w:szCs w:val="32"/>
          <w:lang w:val="zh-CN"/>
        </w:rPr>
      </w:pPr>
      <w:r>
        <w:rPr>
          <w:rFonts w:ascii="Times New Roman Regular" w:hAnsi="Times New Roman Regular" w:cs="Times New Roman Regular"/>
          <w:b/>
          <w:szCs w:val="32"/>
        </w:rPr>
        <w:t>——</w:t>
      </w:r>
      <w:r>
        <w:rPr>
          <w:rFonts w:ascii="Times New Roman Regular" w:hAnsi="Times New Roman Regular" w:cs="Times New Roman Regular"/>
          <w:b/>
          <w:bCs/>
          <w:szCs w:val="32"/>
          <w:lang w:val="zh-CN"/>
        </w:rPr>
        <w:t>生态系统质量和稳定性稳步提升。</w:t>
      </w:r>
      <w:r>
        <w:rPr>
          <w:rFonts w:ascii="Times New Roman Regular" w:hAnsi="Times New Roman Regular" w:cs="Times New Roman Regular"/>
          <w:szCs w:val="32"/>
          <w:lang w:val="zh-CN"/>
        </w:rPr>
        <w:t>生态安全屏障更加牢固，生态空间保护区域功能不降低、面积不减少、性质</w:t>
      </w:r>
      <w:r>
        <w:rPr>
          <w:rFonts w:ascii="Times New Roman Regular" w:hAnsi="Times New Roman Regular" w:cs="Times New Roman Regular"/>
          <w:szCs w:val="32"/>
          <w:lang w:val="zh-CN"/>
        </w:rPr>
        <w:t>不改变，河湖生态功能持续恢复，生态质量指数</w:t>
      </w:r>
      <w:r>
        <w:rPr>
          <w:rFonts w:ascii="Times New Roman Regular" w:hAnsi="Times New Roman Regular" w:cs="Times New Roman Regular"/>
          <w:szCs w:val="32"/>
        </w:rPr>
        <w:t>稳中向好</w:t>
      </w:r>
      <w:r>
        <w:rPr>
          <w:rFonts w:ascii="Times New Roman Regular" w:hAnsi="Times New Roman Regular" w:cs="Times New Roman Regular"/>
          <w:szCs w:val="32"/>
          <w:lang w:val="zh-CN"/>
        </w:rPr>
        <w:t>，自然湿地保护率</w:t>
      </w:r>
      <w:r w:rsidR="001E2F0D">
        <w:rPr>
          <w:rFonts w:ascii="Times New Roman Regular" w:hAnsi="Times New Roman Regular" w:cs="Times New Roman Regular" w:hint="eastAsia"/>
          <w:szCs w:val="32"/>
          <w:lang w:val="zh-CN"/>
        </w:rPr>
        <w:t>和</w:t>
      </w:r>
      <w:r>
        <w:rPr>
          <w:rFonts w:ascii="Times New Roman Regular" w:hAnsi="Times New Roman Regular" w:cs="Times New Roman Regular"/>
          <w:szCs w:val="32"/>
          <w:lang w:val="zh-CN"/>
        </w:rPr>
        <w:t>林木覆盖率</w:t>
      </w:r>
      <w:r w:rsidR="001E2F0D">
        <w:rPr>
          <w:rFonts w:ascii="Times New Roman Regular" w:hAnsi="Times New Roman Regular" w:cs="Times New Roman Regular" w:hint="eastAsia"/>
          <w:szCs w:val="32"/>
        </w:rPr>
        <w:t>不降低</w:t>
      </w:r>
      <w:r>
        <w:rPr>
          <w:rFonts w:ascii="Times New Roman Regular" w:hAnsi="Times New Roman Regular" w:cs="Times New Roman Regular"/>
          <w:szCs w:val="32"/>
          <w:lang w:val="zh-CN"/>
        </w:rPr>
        <w:t>，生物多样性得到有效保护，生态系统服务功能显著增强。</w:t>
      </w:r>
    </w:p>
    <w:p w:rsidR="00B373FD" w:rsidP="00716193">
      <w:pPr>
        <w:spacing w:line="550" w:lineRule="exact"/>
        <w:ind w:firstLine="640" w:firstLineChars="200"/>
        <w:rPr>
          <w:rFonts w:ascii="Times New Roman Regular" w:hAnsi="Times New Roman Regular" w:cs="Times New Roman Regular"/>
          <w:szCs w:val="32"/>
          <w:lang w:val="zh-CN"/>
        </w:rPr>
      </w:pPr>
      <w:r>
        <w:rPr>
          <w:rFonts w:ascii="Times New Roman Regular" w:hAnsi="Times New Roman Regular" w:cs="Times New Roman Regular"/>
          <w:b/>
          <w:szCs w:val="32"/>
        </w:rPr>
        <w:t>——</w:t>
      </w:r>
      <w:r>
        <w:rPr>
          <w:rFonts w:ascii="Times New Roman Regular" w:hAnsi="Times New Roman Regular" w:cs="Times New Roman Regular"/>
          <w:b/>
          <w:bCs/>
          <w:szCs w:val="32"/>
          <w:lang w:val="zh-CN"/>
        </w:rPr>
        <w:t>生态环境治理能力取得新进展。</w:t>
      </w:r>
      <w:r>
        <w:rPr>
          <w:rFonts w:ascii="Times New Roman Regular" w:hAnsi="Times New Roman Regular" w:cs="Times New Roman Regular"/>
          <w:szCs w:val="32"/>
          <w:lang w:val="zh-CN"/>
        </w:rPr>
        <w:t>生态文明制度改革深入推进，现代生态环境治理体系基本形成，生态环境治理效能明显提升，城市生活污水处理率、集镇（含被撤并乡镇）生活污水处理率、农村生活污水治理率均稳中向好</w:t>
      </w:r>
      <w:r>
        <w:rPr>
          <w:rFonts w:ascii="Times New Roman Regular" w:hAnsi="Times New Roman Regular" w:cs="Times New Roman Regular"/>
          <w:szCs w:val="32"/>
          <w:lang w:val="zh-CN"/>
        </w:rPr>
        <w:t>,</w:t>
      </w:r>
      <w:r>
        <w:rPr>
          <w:rFonts w:ascii="Times New Roman Regular" w:hAnsi="Times New Roman Regular" w:cs="Times New Roman Regular"/>
          <w:szCs w:val="32"/>
          <w:lang w:val="zh-CN"/>
        </w:rPr>
        <w:t>公众对生态环境满意率进一步提升。</w:t>
      </w:r>
    </w:p>
    <w:p w:rsidR="00B373FD" w:rsidP="00716193">
      <w:pPr>
        <w:pStyle w:val="Heading2"/>
        <w:numPr>
          <w:ilvl w:val="1"/>
          <w:numId w:val="4"/>
        </w:numPr>
        <w:spacing w:before="156" w:after="156" w:line="550" w:lineRule="exact"/>
        <w:rPr>
          <w:rFonts w:ascii="Times New Roman Regular" w:hAnsi="Times New Roman Regular" w:cs="Times New Roman Regular"/>
        </w:rPr>
      </w:pPr>
      <w:bookmarkStart w:id="48" w:name="_Toc77862703"/>
      <w:r>
        <w:rPr>
          <w:rFonts w:ascii="Times New Roman Regular" w:hAnsi="Times New Roman Regular" w:cs="Times New Roman Regular"/>
        </w:rPr>
        <w:t>指标体系</w:t>
      </w:r>
      <w:bookmarkEnd w:id="48"/>
    </w:p>
    <w:p w:rsidR="00B373FD" w:rsidP="00716193">
      <w:pPr>
        <w:adjustRightInd w:val="0"/>
        <w:snapToGrid w:val="0"/>
        <w:spacing w:line="550" w:lineRule="exact"/>
        <w:ind w:firstLine="640" w:firstLineChars="200"/>
        <w:rPr>
          <w:rFonts w:ascii="Times New Roman Regular" w:hAnsi="Times New Roman Regular" w:cs="Times New Roman Regular"/>
        </w:rPr>
      </w:pPr>
      <w:r>
        <w:rPr>
          <w:rFonts w:ascii="Times New Roman Regular" w:hAnsi="Times New Roman Regular" w:cs="Times New Roman Regular"/>
          <w:szCs w:val="32"/>
        </w:rPr>
        <w:t>在指标设计上，根据新时期国家、省、市相关部署要求，结合太仓市实际，制定太仓市</w:t>
      </w:r>
      <w:r>
        <w:rPr>
          <w:rFonts w:ascii="Times New Roman Regular" w:hAnsi="Times New Roman Regular" w:cs="Times New Roman Regular"/>
          <w:szCs w:val="32"/>
        </w:rPr>
        <w:t>“</w:t>
      </w:r>
      <w:r>
        <w:rPr>
          <w:rFonts w:ascii="Times New Roman Regular" w:hAnsi="Times New Roman Regular" w:cs="Times New Roman Regular"/>
          <w:szCs w:val="32"/>
        </w:rPr>
        <w:t>十四五</w:t>
      </w:r>
      <w:r>
        <w:rPr>
          <w:rFonts w:ascii="Times New Roman Regular" w:hAnsi="Times New Roman Regular" w:cs="Times New Roman Regular"/>
          <w:szCs w:val="32"/>
        </w:rPr>
        <w:t>”</w:t>
      </w:r>
      <w:r>
        <w:rPr>
          <w:rFonts w:ascii="Times New Roman Regular" w:hAnsi="Times New Roman Regular" w:cs="Times New Roman Regular"/>
          <w:szCs w:val="32"/>
        </w:rPr>
        <w:t>生态环境保护规划指标体系，共设置</w:t>
      </w:r>
      <w:r>
        <w:rPr>
          <w:rFonts w:ascii="Times New Roman Regular" w:hAnsi="Times New Roman Regular" w:cs="Times New Roman Regular"/>
          <w:szCs w:val="32"/>
        </w:rPr>
        <w:t>2</w:t>
      </w:r>
      <w:r w:rsidR="00940BF8">
        <w:rPr>
          <w:rFonts w:ascii="Times New Roman Regular" w:hAnsi="Times New Roman Regular" w:cs="Times New Roman Regular"/>
          <w:szCs w:val="32"/>
        </w:rPr>
        <w:t>3</w:t>
      </w:r>
      <w:r>
        <w:rPr>
          <w:rFonts w:ascii="Times New Roman Regular" w:hAnsi="Times New Roman Regular" w:cs="Times New Roman Regular"/>
          <w:szCs w:val="32"/>
        </w:rPr>
        <w:t>个指标，其中，约束性指标</w:t>
      </w:r>
      <w:r>
        <w:rPr>
          <w:rFonts w:ascii="Times New Roman Regular" w:hAnsi="Times New Roman Regular" w:cs="Times New Roman Regular"/>
          <w:szCs w:val="32"/>
        </w:rPr>
        <w:t>1</w:t>
      </w:r>
      <w:r w:rsidR="001E2F0D">
        <w:rPr>
          <w:rFonts w:ascii="Times New Roman Regular" w:hAnsi="Times New Roman Regular" w:cs="Times New Roman Regular"/>
          <w:szCs w:val="32"/>
        </w:rPr>
        <w:t>2</w:t>
      </w:r>
      <w:r>
        <w:rPr>
          <w:rFonts w:ascii="Times New Roman Regular" w:hAnsi="Times New Roman Regular" w:cs="Times New Roman Regular"/>
          <w:szCs w:val="32"/>
        </w:rPr>
        <w:t>个，预期性指标</w:t>
      </w:r>
      <w:r w:rsidR="00940BF8">
        <w:rPr>
          <w:rFonts w:ascii="Times New Roman Regular" w:hAnsi="Times New Roman Regular" w:cs="Times New Roman Regular"/>
          <w:szCs w:val="32"/>
        </w:rPr>
        <w:t>11</w:t>
      </w:r>
      <w:r>
        <w:rPr>
          <w:rFonts w:ascii="Times New Roman Regular" w:hAnsi="Times New Roman Regular" w:cs="Times New Roman Regular"/>
          <w:szCs w:val="32"/>
        </w:rPr>
        <w:t>个。</w:t>
      </w:r>
      <w:r>
        <w:rPr>
          <w:rFonts w:ascii="Times New Roman Regular" w:hAnsi="Times New Roman Regular" w:cs="Times New Roman Regular"/>
        </w:rPr>
        <w:t>标体系见表</w:t>
      </w:r>
      <w:r>
        <w:rPr>
          <w:rFonts w:ascii="Times New Roman Regular" w:hAnsi="Times New Roman Regular" w:cs="Times New Roman Regular"/>
        </w:rPr>
        <w:t>5-1</w:t>
      </w:r>
      <w:r>
        <w:rPr>
          <w:rFonts w:ascii="Times New Roman Regular" w:hAnsi="Times New Roman Regular" w:cs="Times New Roman Regular"/>
        </w:rPr>
        <w:t>。</w:t>
      </w:r>
    </w:p>
    <w:p w:rsidR="00B373FD">
      <w:pPr>
        <w:adjustRightInd w:val="0"/>
        <w:snapToGrid w:val="0"/>
        <w:spacing w:after="156" w:afterLines="50"/>
        <w:ind w:firstLine="640" w:firstLineChars="200"/>
        <w:jc w:val="center"/>
        <w:rPr>
          <w:rFonts w:ascii="Times New Roman Regular" w:eastAsia="黑体" w:hAnsi="Times New Roman Regular" w:cs="Times New Roman Regular"/>
          <w:sz w:val="28"/>
          <w:szCs w:val="28"/>
        </w:rPr>
      </w:pPr>
      <w:r>
        <w:rPr>
          <w:rFonts w:ascii="Times New Roman Regular" w:eastAsia="黑体" w:hAnsi="Times New Roman Regular" w:cs="Times New Roman Regular"/>
          <w:sz w:val="28"/>
          <w:szCs w:val="28"/>
        </w:rPr>
        <w:t>表</w:t>
      </w:r>
      <w:r>
        <w:rPr>
          <w:rFonts w:ascii="Times New Roman Regular" w:eastAsia="黑体" w:hAnsi="Times New Roman Regular" w:cs="Times New Roman Regular"/>
          <w:sz w:val="28"/>
          <w:szCs w:val="28"/>
        </w:rPr>
        <w:t xml:space="preserve">5-1 </w:t>
      </w:r>
      <w:r>
        <w:rPr>
          <w:rFonts w:ascii="Times New Roman Regular" w:eastAsia="黑体" w:hAnsi="Times New Roman Regular" w:cs="Times New Roman Regular"/>
          <w:sz w:val="28"/>
          <w:szCs w:val="28"/>
        </w:rPr>
        <w:t>太仓市</w:t>
      </w:r>
      <w:r>
        <w:rPr>
          <w:rFonts w:ascii="Times New Roman Regular" w:eastAsia="黑体" w:hAnsi="Times New Roman Regular" w:cs="Times New Roman Regular"/>
          <w:sz w:val="28"/>
          <w:szCs w:val="28"/>
        </w:rPr>
        <w:t>“</w:t>
      </w:r>
      <w:r>
        <w:rPr>
          <w:rFonts w:ascii="Times New Roman Regular" w:eastAsia="黑体" w:hAnsi="Times New Roman Regular" w:cs="Times New Roman Regular"/>
          <w:sz w:val="28"/>
          <w:szCs w:val="28"/>
        </w:rPr>
        <w:t>十四五</w:t>
      </w:r>
      <w:r>
        <w:rPr>
          <w:rFonts w:ascii="Times New Roman Regular" w:eastAsia="黑体" w:hAnsi="Times New Roman Regular" w:cs="Times New Roman Regular"/>
          <w:sz w:val="28"/>
          <w:szCs w:val="28"/>
        </w:rPr>
        <w:t>”</w:t>
      </w:r>
      <w:r>
        <w:rPr>
          <w:rFonts w:ascii="Times New Roman Regular" w:eastAsia="黑体" w:hAnsi="Times New Roman Regular" w:cs="Times New Roman Regular"/>
          <w:sz w:val="28"/>
          <w:szCs w:val="28"/>
        </w:rPr>
        <w:t>生态环境保护规划指标体系</w:t>
      </w:r>
    </w:p>
    <w:tbl>
      <w:tblPr>
        <w:tblW w:w="81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686"/>
        <w:gridCol w:w="1407"/>
        <w:gridCol w:w="2079"/>
        <w:gridCol w:w="769"/>
        <w:gridCol w:w="993"/>
        <w:gridCol w:w="1114"/>
        <w:gridCol w:w="1145"/>
      </w:tblGrid>
      <w:tr w:rsidTr="00312F60">
        <w:tblPrEx>
          <w:tblW w:w="81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Ex>
        <w:trPr>
          <w:trHeight w:hRule="exact" w:val="454"/>
          <w:tblHeader/>
          <w:jc w:val="center"/>
        </w:trPr>
        <w:tc>
          <w:tcPr>
            <w:tcW w:w="686" w:type="dxa"/>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黑体"/>
                <w:b/>
                <w:sz w:val="24"/>
                <w:szCs w:val="24"/>
              </w:rPr>
            </w:pPr>
            <w:r>
              <w:rPr>
                <w:rStyle w:val="font71"/>
                <w:rFonts w:eastAsia="黑体"/>
                <w:sz w:val="24"/>
                <w:szCs w:val="24"/>
              </w:rPr>
              <w:t>类</w:t>
            </w:r>
            <w:r>
              <w:rPr>
                <w:rFonts w:eastAsia="黑体"/>
                <w:b/>
                <w:kern w:val="0"/>
                <w:sz w:val="24"/>
                <w:szCs w:val="24"/>
              </w:rPr>
              <w:t xml:space="preserve"> </w:t>
            </w:r>
            <w:r>
              <w:rPr>
                <w:rStyle w:val="font71"/>
                <w:rFonts w:eastAsia="黑体"/>
                <w:sz w:val="24"/>
                <w:szCs w:val="24"/>
              </w:rPr>
              <w:t>别</w:t>
            </w:r>
          </w:p>
        </w:tc>
        <w:tc>
          <w:tcPr>
            <w:tcW w:w="3486" w:type="dxa"/>
            <w:gridSpan w:val="2"/>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黑体"/>
                <w:b/>
                <w:sz w:val="24"/>
                <w:szCs w:val="24"/>
              </w:rPr>
            </w:pPr>
            <w:r>
              <w:rPr>
                <w:rStyle w:val="font71"/>
                <w:rFonts w:eastAsia="黑体"/>
                <w:sz w:val="24"/>
                <w:szCs w:val="24"/>
              </w:rPr>
              <w:t>指标名称</w:t>
            </w:r>
          </w:p>
        </w:tc>
        <w:tc>
          <w:tcPr>
            <w:tcW w:w="769" w:type="dxa"/>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黑体"/>
                <w:b/>
                <w:sz w:val="24"/>
                <w:szCs w:val="24"/>
              </w:rPr>
            </w:pPr>
            <w:r>
              <w:rPr>
                <w:rStyle w:val="font71"/>
                <w:rFonts w:eastAsia="黑体"/>
                <w:sz w:val="24"/>
                <w:szCs w:val="24"/>
              </w:rPr>
              <w:t>单</w:t>
            </w:r>
            <w:r>
              <w:rPr>
                <w:rFonts w:eastAsia="黑体"/>
                <w:b/>
                <w:kern w:val="0"/>
                <w:sz w:val="24"/>
                <w:szCs w:val="24"/>
              </w:rPr>
              <w:t xml:space="preserve">  </w:t>
            </w:r>
            <w:r>
              <w:rPr>
                <w:rStyle w:val="font71"/>
                <w:rFonts w:eastAsia="黑体"/>
                <w:sz w:val="24"/>
                <w:szCs w:val="24"/>
              </w:rPr>
              <w:t>位</w:t>
            </w:r>
          </w:p>
        </w:tc>
        <w:tc>
          <w:tcPr>
            <w:tcW w:w="993" w:type="dxa"/>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黑体"/>
                <w:b/>
                <w:sz w:val="24"/>
                <w:szCs w:val="24"/>
              </w:rPr>
            </w:pPr>
            <w:r>
              <w:rPr>
                <w:rFonts w:eastAsia="黑体"/>
                <w:b/>
                <w:kern w:val="0"/>
                <w:sz w:val="24"/>
                <w:szCs w:val="24"/>
              </w:rPr>
              <w:t>2020</w:t>
            </w:r>
            <w:r>
              <w:rPr>
                <w:rStyle w:val="font71"/>
                <w:rFonts w:eastAsia="黑体"/>
                <w:sz w:val="24"/>
                <w:szCs w:val="24"/>
              </w:rPr>
              <w:t>年</w:t>
            </w:r>
          </w:p>
        </w:tc>
        <w:tc>
          <w:tcPr>
            <w:tcW w:w="1114" w:type="dxa"/>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黑体"/>
                <w:b/>
                <w:sz w:val="24"/>
                <w:szCs w:val="24"/>
              </w:rPr>
            </w:pPr>
            <w:r>
              <w:rPr>
                <w:rFonts w:eastAsia="黑体"/>
                <w:b/>
                <w:kern w:val="0"/>
                <w:sz w:val="24"/>
                <w:szCs w:val="24"/>
              </w:rPr>
              <w:t>2025</w:t>
            </w:r>
            <w:r>
              <w:rPr>
                <w:rStyle w:val="font71"/>
                <w:rFonts w:eastAsia="黑体"/>
                <w:sz w:val="24"/>
                <w:szCs w:val="24"/>
              </w:rPr>
              <w:t>年</w:t>
            </w:r>
          </w:p>
        </w:tc>
        <w:tc>
          <w:tcPr>
            <w:tcW w:w="1145" w:type="dxa"/>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黑体"/>
                <w:b/>
                <w:sz w:val="24"/>
                <w:szCs w:val="24"/>
              </w:rPr>
            </w:pPr>
            <w:r>
              <w:rPr>
                <w:rStyle w:val="font71"/>
                <w:rFonts w:eastAsia="黑体"/>
                <w:sz w:val="24"/>
                <w:szCs w:val="24"/>
              </w:rPr>
              <w:t>指标性质</w:t>
            </w:r>
          </w:p>
        </w:tc>
      </w:tr>
      <w:tr w:rsidTr="00312F60">
        <w:tblPrEx>
          <w:tblW w:w="8193" w:type="dxa"/>
          <w:jc w:val="center"/>
          <w:tblLayout w:type="fixed"/>
          <w:tblCellMar>
            <w:left w:w="0" w:type="dxa"/>
            <w:right w:w="0" w:type="dxa"/>
          </w:tblCellMar>
          <w:tblLook w:val="04A0"/>
        </w:tblPrEx>
        <w:trPr>
          <w:trHeight w:val="454"/>
          <w:jc w:val="center"/>
        </w:trPr>
        <w:tc>
          <w:tcPr>
            <w:tcW w:w="686" w:type="dxa"/>
            <w:vMerge w:val="restart"/>
            <w:tcBorders>
              <w:top w:val="single" w:sz="8" w:space="0" w:color="000000"/>
              <w:left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sz w:val="24"/>
                <w:szCs w:val="24"/>
              </w:rPr>
            </w:pPr>
            <w:r>
              <w:rPr>
                <w:rFonts w:eastAsia="宋体"/>
                <w:kern w:val="0"/>
                <w:sz w:val="24"/>
                <w:szCs w:val="24"/>
              </w:rPr>
              <w:t>大气环境</w:t>
            </w:r>
          </w:p>
        </w:tc>
        <w:tc>
          <w:tcPr>
            <w:tcW w:w="3486" w:type="dxa"/>
            <w:gridSpan w:val="2"/>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left"/>
              <w:textAlignment w:val="center"/>
              <w:rPr>
                <w:rFonts w:eastAsia="宋体"/>
                <w:sz w:val="24"/>
                <w:szCs w:val="24"/>
              </w:rPr>
            </w:pPr>
            <w:r>
              <w:rPr>
                <w:rFonts w:eastAsia="宋体"/>
                <w:kern w:val="0"/>
                <w:sz w:val="24"/>
                <w:szCs w:val="24"/>
              </w:rPr>
              <w:t>1.</w:t>
            </w:r>
            <w:r>
              <w:rPr>
                <w:rFonts w:eastAsia="宋体"/>
                <w:kern w:val="0"/>
                <w:sz w:val="24"/>
                <w:szCs w:val="24"/>
              </w:rPr>
              <w:t>空气质量良好以上天数比例</w:t>
            </w:r>
          </w:p>
        </w:tc>
        <w:tc>
          <w:tcPr>
            <w:tcW w:w="769" w:type="dxa"/>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sz w:val="24"/>
                <w:szCs w:val="24"/>
              </w:rPr>
            </w:pPr>
            <w:r>
              <w:rPr>
                <w:rFonts w:eastAsia="宋体"/>
                <w:kern w:val="0"/>
                <w:sz w:val="24"/>
                <w:szCs w:val="24"/>
              </w:rPr>
              <w:t>%</w:t>
            </w:r>
          </w:p>
        </w:tc>
        <w:tc>
          <w:tcPr>
            <w:tcW w:w="993" w:type="dxa"/>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kern w:val="0"/>
                <w:sz w:val="24"/>
                <w:szCs w:val="24"/>
              </w:rPr>
            </w:pPr>
            <w:r>
              <w:rPr>
                <w:rFonts w:eastAsia="宋体"/>
                <w:kern w:val="0"/>
                <w:sz w:val="24"/>
                <w:szCs w:val="24"/>
              </w:rPr>
              <w:t>85.2</w:t>
            </w:r>
          </w:p>
        </w:tc>
        <w:tc>
          <w:tcPr>
            <w:tcW w:w="1114" w:type="dxa"/>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sz w:val="24"/>
                <w:szCs w:val="24"/>
              </w:rPr>
            </w:pPr>
            <w:r>
              <w:rPr>
                <w:rFonts w:eastAsia="宋体"/>
                <w:kern w:val="0"/>
                <w:sz w:val="24"/>
                <w:szCs w:val="24"/>
              </w:rPr>
              <w:t>86</w:t>
            </w:r>
            <w:r>
              <w:rPr>
                <w:rFonts w:eastAsia="宋体"/>
                <w:kern w:val="0"/>
                <w:sz w:val="24"/>
                <w:szCs w:val="24"/>
              </w:rPr>
              <w:t>以上</w:t>
            </w:r>
          </w:p>
        </w:tc>
        <w:tc>
          <w:tcPr>
            <w:tcW w:w="1145" w:type="dxa"/>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sz w:val="24"/>
                <w:szCs w:val="24"/>
              </w:rPr>
            </w:pPr>
            <w:r>
              <w:rPr>
                <w:rFonts w:eastAsia="宋体"/>
                <w:kern w:val="0"/>
                <w:sz w:val="24"/>
                <w:szCs w:val="24"/>
              </w:rPr>
              <w:t>约束性</w:t>
            </w:r>
          </w:p>
        </w:tc>
      </w:tr>
      <w:tr w:rsidTr="00312F60">
        <w:tblPrEx>
          <w:tblW w:w="8193" w:type="dxa"/>
          <w:jc w:val="center"/>
          <w:tblLayout w:type="fixed"/>
          <w:tblCellMar>
            <w:left w:w="0" w:type="dxa"/>
            <w:right w:w="0" w:type="dxa"/>
          </w:tblCellMar>
          <w:tblLook w:val="04A0"/>
        </w:tblPrEx>
        <w:trPr>
          <w:trHeight w:val="454"/>
          <w:jc w:val="center"/>
        </w:trPr>
        <w:tc>
          <w:tcPr>
            <w:tcW w:w="686" w:type="dxa"/>
            <w:vMerge/>
            <w:tcBorders>
              <w:left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rPr>
                <w:rFonts w:eastAsia="宋体"/>
                <w:sz w:val="24"/>
                <w:szCs w:val="24"/>
              </w:rPr>
            </w:pPr>
          </w:p>
        </w:tc>
        <w:tc>
          <w:tcPr>
            <w:tcW w:w="3486" w:type="dxa"/>
            <w:gridSpan w:val="2"/>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left"/>
              <w:textAlignment w:val="center"/>
              <w:rPr>
                <w:rFonts w:eastAsia="宋体"/>
                <w:sz w:val="24"/>
                <w:szCs w:val="24"/>
              </w:rPr>
            </w:pPr>
            <w:r>
              <w:rPr>
                <w:rFonts w:eastAsia="宋体"/>
                <w:kern w:val="0"/>
                <w:sz w:val="24"/>
                <w:szCs w:val="24"/>
              </w:rPr>
              <w:t>2. PM</w:t>
            </w:r>
            <w:r>
              <w:rPr>
                <w:rStyle w:val="font61"/>
                <w:rFonts w:eastAsia="宋体"/>
                <w:sz w:val="24"/>
                <w:szCs w:val="24"/>
              </w:rPr>
              <w:t>2.5</w:t>
            </w:r>
            <w:r>
              <w:rPr>
                <w:rFonts w:eastAsia="宋体"/>
                <w:kern w:val="0"/>
                <w:sz w:val="24"/>
                <w:szCs w:val="24"/>
              </w:rPr>
              <w:t>年均浓度</w:t>
            </w:r>
          </w:p>
        </w:tc>
        <w:tc>
          <w:tcPr>
            <w:tcW w:w="769" w:type="dxa"/>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sz w:val="24"/>
                <w:szCs w:val="24"/>
              </w:rPr>
            </w:pPr>
            <w:r>
              <w:rPr>
                <w:rFonts w:eastAsia="宋体"/>
                <w:kern w:val="0"/>
                <w:sz w:val="24"/>
                <w:szCs w:val="24"/>
              </w:rPr>
              <w:t>微克</w:t>
            </w:r>
            <w:r>
              <w:rPr>
                <w:rFonts w:eastAsia="宋体"/>
                <w:kern w:val="0"/>
                <w:sz w:val="24"/>
                <w:szCs w:val="24"/>
              </w:rPr>
              <w:t>/</w:t>
            </w:r>
            <w:r>
              <w:rPr>
                <w:rFonts w:eastAsia="宋体"/>
                <w:kern w:val="0"/>
                <w:sz w:val="24"/>
                <w:szCs w:val="24"/>
              </w:rPr>
              <w:t>立方米</w:t>
            </w:r>
          </w:p>
        </w:tc>
        <w:tc>
          <w:tcPr>
            <w:tcW w:w="993" w:type="dxa"/>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kern w:val="0"/>
                <w:sz w:val="24"/>
                <w:szCs w:val="24"/>
              </w:rPr>
            </w:pPr>
            <w:r>
              <w:rPr>
                <w:rFonts w:eastAsia="宋体" w:hint="eastAsia"/>
                <w:kern w:val="0"/>
                <w:sz w:val="24"/>
                <w:szCs w:val="24"/>
              </w:rPr>
              <w:t>26</w:t>
            </w:r>
          </w:p>
        </w:tc>
        <w:tc>
          <w:tcPr>
            <w:tcW w:w="1114" w:type="dxa"/>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sz w:val="24"/>
                <w:szCs w:val="24"/>
              </w:rPr>
            </w:pPr>
            <w:r>
              <w:rPr>
                <w:rFonts w:eastAsia="宋体" w:hint="eastAsia"/>
                <w:kern w:val="0"/>
                <w:sz w:val="24"/>
                <w:szCs w:val="24"/>
              </w:rPr>
              <w:t>25</w:t>
            </w:r>
          </w:p>
        </w:tc>
        <w:tc>
          <w:tcPr>
            <w:tcW w:w="1145" w:type="dxa"/>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sz w:val="24"/>
                <w:szCs w:val="24"/>
              </w:rPr>
            </w:pPr>
            <w:r>
              <w:rPr>
                <w:rFonts w:eastAsia="宋体"/>
                <w:kern w:val="0"/>
                <w:sz w:val="24"/>
                <w:szCs w:val="24"/>
              </w:rPr>
              <w:t>约束性</w:t>
            </w:r>
          </w:p>
        </w:tc>
      </w:tr>
      <w:tr w:rsidTr="00312F60">
        <w:tblPrEx>
          <w:tblW w:w="8193" w:type="dxa"/>
          <w:jc w:val="center"/>
          <w:tblLayout w:type="fixed"/>
          <w:tblCellMar>
            <w:left w:w="0" w:type="dxa"/>
            <w:right w:w="0" w:type="dxa"/>
          </w:tblCellMar>
          <w:tblLook w:val="04A0"/>
        </w:tblPrEx>
        <w:trPr>
          <w:trHeight w:val="454"/>
          <w:jc w:val="center"/>
        </w:trPr>
        <w:tc>
          <w:tcPr>
            <w:tcW w:w="686" w:type="dxa"/>
            <w:vMerge/>
            <w:tcBorders>
              <w:left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rPr>
                <w:rFonts w:eastAsia="宋体"/>
                <w:sz w:val="24"/>
                <w:szCs w:val="24"/>
              </w:rPr>
            </w:pPr>
          </w:p>
        </w:tc>
        <w:tc>
          <w:tcPr>
            <w:tcW w:w="3486" w:type="dxa"/>
            <w:gridSpan w:val="2"/>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left"/>
              <w:textAlignment w:val="center"/>
              <w:rPr>
                <w:rFonts w:eastAsia="宋体"/>
                <w:kern w:val="0"/>
                <w:sz w:val="24"/>
                <w:szCs w:val="24"/>
              </w:rPr>
            </w:pPr>
            <w:r w:rsidRPr="00DC5680">
              <w:rPr>
                <w:rFonts w:eastAsia="宋体" w:hint="eastAsia"/>
                <w:kern w:val="0"/>
                <w:sz w:val="24"/>
                <w:szCs w:val="24"/>
              </w:rPr>
              <w:t>3</w:t>
            </w:r>
            <w:r>
              <w:rPr>
                <w:rFonts w:eastAsia="宋体" w:hint="eastAsia"/>
                <w:kern w:val="0"/>
                <w:sz w:val="24"/>
                <w:szCs w:val="24"/>
              </w:rPr>
              <w:t>.</w:t>
            </w:r>
            <w:r w:rsidRPr="00DC5680">
              <w:rPr>
                <w:rFonts w:eastAsia="宋体" w:hint="eastAsia"/>
                <w:kern w:val="0"/>
                <w:sz w:val="24"/>
                <w:szCs w:val="24"/>
              </w:rPr>
              <w:t>O</w:t>
            </w:r>
            <w:r w:rsidRPr="00CD1D05">
              <w:rPr>
                <w:rFonts w:eastAsia="宋体"/>
                <w:kern w:val="0"/>
                <w:sz w:val="24"/>
                <w:szCs w:val="24"/>
                <w:vertAlign w:val="subscript"/>
              </w:rPr>
              <w:t>3</w:t>
            </w:r>
            <w:r w:rsidRPr="00DC5680">
              <w:rPr>
                <w:rFonts w:eastAsia="宋体" w:hint="eastAsia"/>
                <w:kern w:val="0"/>
                <w:sz w:val="24"/>
                <w:szCs w:val="24"/>
              </w:rPr>
              <w:t>日最大</w:t>
            </w:r>
            <w:r w:rsidRPr="00DC5680">
              <w:rPr>
                <w:rFonts w:eastAsia="宋体" w:hint="eastAsia"/>
                <w:kern w:val="0"/>
                <w:sz w:val="24"/>
                <w:szCs w:val="24"/>
              </w:rPr>
              <w:t>8</w:t>
            </w:r>
            <w:r w:rsidRPr="00DC5680">
              <w:rPr>
                <w:rFonts w:eastAsia="宋体" w:hint="eastAsia"/>
                <w:kern w:val="0"/>
                <w:sz w:val="24"/>
                <w:szCs w:val="24"/>
              </w:rPr>
              <w:t>小时第</w:t>
            </w:r>
            <w:r w:rsidRPr="00DC5680">
              <w:rPr>
                <w:rFonts w:eastAsia="宋体" w:hint="eastAsia"/>
                <w:kern w:val="0"/>
                <w:sz w:val="24"/>
                <w:szCs w:val="24"/>
              </w:rPr>
              <w:t>90</w:t>
            </w:r>
            <w:r w:rsidRPr="00DC5680">
              <w:rPr>
                <w:rFonts w:eastAsia="宋体" w:hint="eastAsia"/>
                <w:kern w:val="0"/>
                <w:sz w:val="24"/>
                <w:szCs w:val="24"/>
              </w:rPr>
              <w:t>百分位数浓度</w:t>
            </w:r>
          </w:p>
        </w:tc>
        <w:tc>
          <w:tcPr>
            <w:tcW w:w="769" w:type="dxa"/>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kern w:val="0"/>
                <w:sz w:val="24"/>
                <w:szCs w:val="24"/>
              </w:rPr>
            </w:pPr>
            <w:r>
              <w:rPr>
                <w:color w:val="000000"/>
                <w:kern w:val="0"/>
                <w:sz w:val="24"/>
              </w:rPr>
              <w:t>微克</w:t>
            </w:r>
            <w:r>
              <w:rPr>
                <w:color w:val="000000"/>
                <w:kern w:val="0"/>
                <w:sz w:val="24"/>
              </w:rPr>
              <w:t>/</w:t>
            </w:r>
            <w:r>
              <w:rPr>
                <w:color w:val="000000"/>
                <w:kern w:val="0"/>
                <w:sz w:val="24"/>
              </w:rPr>
              <w:t>立方米</w:t>
            </w:r>
          </w:p>
        </w:tc>
        <w:tc>
          <w:tcPr>
            <w:tcW w:w="993" w:type="dxa"/>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RPr="00312F60" w:rsidP="00312F60">
            <w:pPr>
              <w:widowControl/>
              <w:spacing w:line="240" w:lineRule="auto"/>
              <w:jc w:val="center"/>
              <w:textAlignment w:val="center"/>
              <w:rPr>
                <w:rFonts w:eastAsia="宋体"/>
                <w:kern w:val="0"/>
                <w:sz w:val="24"/>
                <w:szCs w:val="24"/>
              </w:rPr>
            </w:pPr>
            <w:r w:rsidRPr="00312F60">
              <w:rPr>
                <w:rFonts w:eastAsia="宋体" w:hint="eastAsia"/>
                <w:kern w:val="0"/>
                <w:sz w:val="24"/>
                <w:szCs w:val="24"/>
              </w:rPr>
              <w:t>1</w:t>
            </w:r>
            <w:r w:rsidRPr="00312F60">
              <w:rPr>
                <w:rFonts w:eastAsia="宋体"/>
                <w:kern w:val="0"/>
                <w:sz w:val="24"/>
                <w:szCs w:val="24"/>
              </w:rPr>
              <w:t>64</w:t>
            </w:r>
          </w:p>
        </w:tc>
        <w:tc>
          <w:tcPr>
            <w:tcW w:w="1114" w:type="dxa"/>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RPr="00312F60" w:rsidP="00312F60">
            <w:pPr>
              <w:widowControl/>
              <w:spacing w:line="240" w:lineRule="auto"/>
              <w:jc w:val="center"/>
              <w:textAlignment w:val="center"/>
              <w:rPr>
                <w:rFonts w:eastAsia="宋体"/>
                <w:kern w:val="0"/>
                <w:sz w:val="24"/>
                <w:szCs w:val="24"/>
              </w:rPr>
            </w:pPr>
            <w:r w:rsidRPr="00312F60">
              <w:rPr>
                <w:rFonts w:eastAsia="宋体" w:hint="eastAsia"/>
                <w:kern w:val="0"/>
                <w:sz w:val="24"/>
                <w:szCs w:val="24"/>
              </w:rPr>
              <w:t>1</w:t>
            </w:r>
            <w:r w:rsidRPr="00312F60">
              <w:rPr>
                <w:rFonts w:eastAsia="宋体"/>
                <w:kern w:val="0"/>
                <w:sz w:val="24"/>
                <w:szCs w:val="24"/>
              </w:rPr>
              <w:t>55</w:t>
            </w:r>
          </w:p>
        </w:tc>
        <w:tc>
          <w:tcPr>
            <w:tcW w:w="1145" w:type="dxa"/>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kern w:val="0"/>
                <w:sz w:val="24"/>
                <w:szCs w:val="24"/>
              </w:rPr>
            </w:pPr>
            <w:r>
              <w:rPr>
                <w:rFonts w:eastAsia="宋体"/>
                <w:kern w:val="0"/>
                <w:sz w:val="24"/>
                <w:szCs w:val="24"/>
              </w:rPr>
              <w:t>预期性</w:t>
            </w:r>
          </w:p>
        </w:tc>
      </w:tr>
      <w:tr w:rsidTr="00312F60">
        <w:tblPrEx>
          <w:tblW w:w="8193" w:type="dxa"/>
          <w:jc w:val="center"/>
          <w:tblLayout w:type="fixed"/>
          <w:tblCellMar>
            <w:left w:w="0" w:type="dxa"/>
            <w:right w:w="0" w:type="dxa"/>
          </w:tblCellMar>
          <w:tblLook w:val="04A0"/>
        </w:tblPrEx>
        <w:trPr>
          <w:trHeight w:hRule="exact" w:val="700"/>
          <w:jc w:val="center"/>
        </w:trPr>
        <w:tc>
          <w:tcPr>
            <w:tcW w:w="686" w:type="dxa"/>
            <w:vMerge/>
            <w:tcBorders>
              <w:left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rPr>
                <w:rFonts w:eastAsia="宋体"/>
                <w:sz w:val="24"/>
                <w:szCs w:val="24"/>
              </w:rPr>
            </w:pPr>
          </w:p>
        </w:tc>
        <w:tc>
          <w:tcPr>
            <w:tcW w:w="1407" w:type="dxa"/>
            <w:vMerge w:val="restart"/>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textAlignment w:val="center"/>
              <w:rPr>
                <w:rFonts w:eastAsia="宋体"/>
                <w:sz w:val="24"/>
                <w:szCs w:val="24"/>
              </w:rPr>
            </w:pPr>
            <w:r>
              <w:rPr>
                <w:rFonts w:eastAsia="宋体"/>
                <w:kern w:val="0"/>
                <w:sz w:val="24"/>
                <w:szCs w:val="24"/>
              </w:rPr>
              <w:t>4.</w:t>
            </w:r>
            <w:r>
              <w:rPr>
                <w:rFonts w:eastAsia="宋体"/>
                <w:kern w:val="0"/>
                <w:sz w:val="24"/>
                <w:szCs w:val="24"/>
              </w:rPr>
              <w:t>大气污染物排放量削减比例</w:t>
            </w:r>
          </w:p>
        </w:tc>
        <w:tc>
          <w:tcPr>
            <w:tcW w:w="2079" w:type="dxa"/>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sz w:val="24"/>
                <w:szCs w:val="24"/>
              </w:rPr>
            </w:pPr>
            <w:r>
              <w:rPr>
                <w:rFonts w:eastAsia="宋体"/>
                <w:kern w:val="0"/>
                <w:sz w:val="24"/>
                <w:szCs w:val="24"/>
              </w:rPr>
              <w:t>氮氧化物</w:t>
            </w:r>
          </w:p>
        </w:tc>
        <w:tc>
          <w:tcPr>
            <w:tcW w:w="769" w:type="dxa"/>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sz w:val="24"/>
                <w:szCs w:val="24"/>
              </w:rPr>
            </w:pPr>
            <w:r>
              <w:rPr>
                <w:rFonts w:eastAsia="宋体"/>
                <w:kern w:val="0"/>
                <w:sz w:val="24"/>
                <w:szCs w:val="24"/>
              </w:rPr>
              <w:t>%</w:t>
            </w:r>
          </w:p>
        </w:tc>
        <w:tc>
          <w:tcPr>
            <w:tcW w:w="993" w:type="dxa"/>
            <w:vMerge w:val="restart"/>
            <w:tcBorders>
              <w:top w:val="single" w:sz="8" w:space="0" w:color="000000"/>
              <w:left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kern w:val="0"/>
                <w:sz w:val="24"/>
                <w:szCs w:val="24"/>
              </w:rPr>
            </w:pPr>
            <w:r>
              <w:rPr>
                <w:rFonts w:eastAsia="宋体"/>
                <w:kern w:val="0"/>
                <w:sz w:val="24"/>
                <w:szCs w:val="24"/>
              </w:rPr>
              <w:t>达到上级下达要求</w:t>
            </w:r>
          </w:p>
        </w:tc>
        <w:tc>
          <w:tcPr>
            <w:tcW w:w="1114" w:type="dxa"/>
            <w:vMerge w:val="restart"/>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sz w:val="24"/>
                <w:szCs w:val="24"/>
              </w:rPr>
            </w:pPr>
            <w:r>
              <w:rPr>
                <w:rFonts w:eastAsia="宋体"/>
                <w:kern w:val="0"/>
                <w:sz w:val="24"/>
                <w:szCs w:val="24"/>
              </w:rPr>
              <w:t>达到上级下达要求</w:t>
            </w:r>
          </w:p>
        </w:tc>
        <w:tc>
          <w:tcPr>
            <w:tcW w:w="1145" w:type="dxa"/>
            <w:vMerge w:val="restart"/>
            <w:tcBorders>
              <w:top w:val="single" w:sz="8" w:space="0" w:color="000000"/>
              <w:left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sz w:val="24"/>
                <w:szCs w:val="24"/>
              </w:rPr>
            </w:pPr>
            <w:r>
              <w:rPr>
                <w:rFonts w:eastAsia="宋体"/>
                <w:kern w:val="0"/>
                <w:sz w:val="24"/>
                <w:szCs w:val="24"/>
              </w:rPr>
              <w:t>约束性</w:t>
            </w:r>
          </w:p>
        </w:tc>
      </w:tr>
      <w:tr w:rsidTr="00312F60">
        <w:tblPrEx>
          <w:tblW w:w="8193" w:type="dxa"/>
          <w:jc w:val="center"/>
          <w:tblLayout w:type="fixed"/>
          <w:tblCellMar>
            <w:left w:w="0" w:type="dxa"/>
            <w:right w:w="0" w:type="dxa"/>
          </w:tblCellMar>
          <w:tblLook w:val="04A0"/>
        </w:tblPrEx>
        <w:trPr>
          <w:trHeight w:hRule="exact" w:val="708"/>
          <w:jc w:val="center"/>
        </w:trPr>
        <w:tc>
          <w:tcPr>
            <w:tcW w:w="686" w:type="dxa"/>
            <w:vMerge/>
            <w:tcBorders>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rPr>
                <w:rFonts w:eastAsia="宋体"/>
                <w:sz w:val="24"/>
                <w:szCs w:val="24"/>
              </w:rPr>
            </w:pPr>
          </w:p>
        </w:tc>
        <w:tc>
          <w:tcPr>
            <w:tcW w:w="1407" w:type="dxa"/>
            <w:vMerge/>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rPr>
                <w:rFonts w:eastAsia="宋体"/>
                <w:sz w:val="24"/>
                <w:szCs w:val="24"/>
              </w:rPr>
            </w:pPr>
          </w:p>
        </w:tc>
        <w:tc>
          <w:tcPr>
            <w:tcW w:w="2079" w:type="dxa"/>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pPr>
            <w:r>
              <w:rPr>
                <w:rFonts w:eastAsia="宋体"/>
                <w:kern w:val="0"/>
                <w:sz w:val="24"/>
                <w:szCs w:val="24"/>
              </w:rPr>
              <w:t>挥发性有机物</w:t>
            </w:r>
          </w:p>
        </w:tc>
        <w:tc>
          <w:tcPr>
            <w:tcW w:w="769" w:type="dxa"/>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sz w:val="24"/>
                <w:szCs w:val="24"/>
              </w:rPr>
            </w:pPr>
            <w:r>
              <w:rPr>
                <w:rFonts w:eastAsia="宋体"/>
                <w:kern w:val="0"/>
                <w:sz w:val="24"/>
                <w:szCs w:val="24"/>
              </w:rPr>
              <w:t>%</w:t>
            </w:r>
          </w:p>
        </w:tc>
        <w:tc>
          <w:tcPr>
            <w:tcW w:w="993" w:type="dxa"/>
            <w:vMerge/>
            <w:tcBorders>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kern w:val="0"/>
                <w:sz w:val="24"/>
                <w:szCs w:val="24"/>
              </w:rPr>
            </w:pPr>
          </w:p>
        </w:tc>
        <w:tc>
          <w:tcPr>
            <w:tcW w:w="1114" w:type="dxa"/>
            <w:vMerge/>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rPr>
                <w:rFonts w:eastAsia="宋体"/>
                <w:sz w:val="24"/>
                <w:szCs w:val="24"/>
              </w:rPr>
            </w:pPr>
          </w:p>
        </w:tc>
        <w:tc>
          <w:tcPr>
            <w:tcW w:w="1145" w:type="dxa"/>
            <w:vMerge/>
            <w:tcBorders>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sz w:val="24"/>
                <w:szCs w:val="24"/>
              </w:rPr>
            </w:pPr>
          </w:p>
        </w:tc>
      </w:tr>
      <w:tr w:rsidTr="00312F60">
        <w:tblPrEx>
          <w:tblW w:w="8193" w:type="dxa"/>
          <w:jc w:val="center"/>
          <w:tblLayout w:type="fixed"/>
          <w:tblCellMar>
            <w:left w:w="0" w:type="dxa"/>
            <w:right w:w="0" w:type="dxa"/>
          </w:tblCellMar>
          <w:tblLook w:val="04A0"/>
        </w:tblPrEx>
        <w:trPr>
          <w:trHeight w:hRule="exact" w:val="674"/>
          <w:jc w:val="center"/>
        </w:trPr>
        <w:tc>
          <w:tcPr>
            <w:tcW w:w="686" w:type="dxa"/>
            <w:vMerge w:val="restart"/>
            <w:tcBorders>
              <w:top w:val="single" w:sz="8" w:space="0" w:color="000000"/>
              <w:left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rPr>
                <w:rFonts w:eastAsia="宋体"/>
                <w:sz w:val="24"/>
                <w:szCs w:val="24"/>
              </w:rPr>
            </w:pPr>
            <w:r>
              <w:rPr>
                <w:rFonts w:eastAsia="宋体"/>
                <w:sz w:val="24"/>
                <w:szCs w:val="24"/>
              </w:rPr>
              <w:t>应对气候变化</w:t>
            </w:r>
          </w:p>
        </w:tc>
        <w:tc>
          <w:tcPr>
            <w:tcW w:w="3486" w:type="dxa"/>
            <w:gridSpan w:val="2"/>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left"/>
              <w:textAlignment w:val="center"/>
              <w:rPr>
                <w:rFonts w:eastAsia="宋体"/>
                <w:sz w:val="24"/>
                <w:szCs w:val="24"/>
              </w:rPr>
            </w:pPr>
            <w:r>
              <w:rPr>
                <w:rFonts w:eastAsia="宋体"/>
                <w:kern w:val="0"/>
                <w:sz w:val="24"/>
                <w:szCs w:val="24"/>
              </w:rPr>
              <w:t>5.</w:t>
            </w:r>
            <w:r>
              <w:rPr>
                <w:rFonts w:eastAsia="宋体"/>
                <w:kern w:val="0"/>
                <w:sz w:val="24"/>
                <w:szCs w:val="24"/>
              </w:rPr>
              <w:t>单位</w:t>
            </w:r>
            <w:r>
              <w:rPr>
                <w:rFonts w:eastAsia="宋体"/>
                <w:kern w:val="0"/>
                <w:sz w:val="24"/>
                <w:szCs w:val="24"/>
              </w:rPr>
              <w:t>GDP</w:t>
            </w:r>
            <w:r>
              <w:rPr>
                <w:rFonts w:eastAsia="宋体"/>
                <w:kern w:val="0"/>
                <w:sz w:val="24"/>
                <w:szCs w:val="24"/>
              </w:rPr>
              <w:t>二氧化碳排放强度下降率</w:t>
            </w:r>
          </w:p>
        </w:tc>
        <w:tc>
          <w:tcPr>
            <w:tcW w:w="769" w:type="dxa"/>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sz w:val="24"/>
                <w:szCs w:val="24"/>
              </w:rPr>
            </w:pPr>
            <w:r>
              <w:rPr>
                <w:rFonts w:eastAsia="宋体"/>
                <w:kern w:val="0"/>
                <w:sz w:val="24"/>
                <w:szCs w:val="24"/>
              </w:rPr>
              <w:t>%</w:t>
            </w:r>
          </w:p>
        </w:tc>
        <w:tc>
          <w:tcPr>
            <w:tcW w:w="993" w:type="dxa"/>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kern w:val="0"/>
                <w:sz w:val="24"/>
                <w:szCs w:val="24"/>
              </w:rPr>
            </w:pPr>
            <w:r>
              <w:rPr>
                <w:rFonts w:eastAsia="宋体"/>
                <w:kern w:val="0"/>
                <w:sz w:val="24"/>
                <w:szCs w:val="24"/>
              </w:rPr>
              <w:t>达到上级下达要求</w:t>
            </w:r>
          </w:p>
        </w:tc>
        <w:tc>
          <w:tcPr>
            <w:tcW w:w="1114" w:type="dxa"/>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sz w:val="24"/>
                <w:szCs w:val="24"/>
              </w:rPr>
            </w:pPr>
            <w:r>
              <w:rPr>
                <w:rFonts w:eastAsia="宋体"/>
                <w:kern w:val="0"/>
                <w:sz w:val="24"/>
                <w:szCs w:val="24"/>
              </w:rPr>
              <w:t>达到上级下达要求</w:t>
            </w:r>
          </w:p>
        </w:tc>
        <w:tc>
          <w:tcPr>
            <w:tcW w:w="1145" w:type="dxa"/>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sz w:val="24"/>
                <w:szCs w:val="24"/>
              </w:rPr>
            </w:pPr>
            <w:r>
              <w:rPr>
                <w:rFonts w:eastAsia="宋体"/>
                <w:kern w:val="0"/>
                <w:sz w:val="24"/>
                <w:szCs w:val="24"/>
              </w:rPr>
              <w:t>约束性</w:t>
            </w:r>
          </w:p>
        </w:tc>
      </w:tr>
      <w:tr w:rsidTr="00312F60">
        <w:tblPrEx>
          <w:tblW w:w="8193" w:type="dxa"/>
          <w:jc w:val="center"/>
          <w:tblLayout w:type="fixed"/>
          <w:tblCellMar>
            <w:left w:w="0" w:type="dxa"/>
            <w:right w:w="0" w:type="dxa"/>
          </w:tblCellMar>
          <w:tblLook w:val="04A0"/>
        </w:tblPrEx>
        <w:trPr>
          <w:trHeight w:hRule="exact" w:val="703"/>
          <w:jc w:val="center"/>
        </w:trPr>
        <w:tc>
          <w:tcPr>
            <w:tcW w:w="686" w:type="dxa"/>
            <w:vMerge/>
            <w:tcBorders>
              <w:left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rPr>
                <w:rFonts w:eastAsia="宋体"/>
                <w:sz w:val="24"/>
                <w:szCs w:val="24"/>
              </w:rPr>
            </w:pPr>
          </w:p>
        </w:tc>
        <w:tc>
          <w:tcPr>
            <w:tcW w:w="3486" w:type="dxa"/>
            <w:gridSpan w:val="2"/>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left"/>
              <w:textAlignment w:val="center"/>
              <w:rPr>
                <w:rFonts w:eastAsia="宋体"/>
                <w:kern w:val="0"/>
                <w:sz w:val="24"/>
                <w:szCs w:val="24"/>
              </w:rPr>
            </w:pPr>
            <w:r>
              <w:rPr>
                <w:rFonts w:eastAsia="宋体"/>
                <w:kern w:val="0"/>
                <w:sz w:val="24"/>
                <w:szCs w:val="24"/>
              </w:rPr>
              <w:t>6.</w:t>
            </w:r>
            <w:r>
              <w:rPr>
                <w:rFonts w:eastAsia="宋体"/>
                <w:kern w:val="0"/>
                <w:sz w:val="24"/>
                <w:szCs w:val="24"/>
              </w:rPr>
              <w:t>单位</w:t>
            </w:r>
            <w:r>
              <w:rPr>
                <w:rFonts w:eastAsia="宋体"/>
                <w:kern w:val="0"/>
                <w:sz w:val="24"/>
                <w:szCs w:val="24"/>
              </w:rPr>
              <w:t>GDP</w:t>
            </w:r>
            <w:r>
              <w:rPr>
                <w:rFonts w:eastAsia="宋体"/>
                <w:kern w:val="0"/>
                <w:sz w:val="24"/>
                <w:szCs w:val="24"/>
              </w:rPr>
              <w:t>能耗下降率</w:t>
            </w:r>
          </w:p>
        </w:tc>
        <w:tc>
          <w:tcPr>
            <w:tcW w:w="769" w:type="dxa"/>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kern w:val="0"/>
                <w:sz w:val="24"/>
                <w:szCs w:val="24"/>
              </w:rPr>
            </w:pPr>
            <w:r>
              <w:rPr>
                <w:rFonts w:eastAsia="宋体"/>
                <w:kern w:val="0"/>
                <w:sz w:val="24"/>
                <w:szCs w:val="24"/>
              </w:rPr>
              <w:t>%</w:t>
            </w:r>
          </w:p>
        </w:tc>
        <w:tc>
          <w:tcPr>
            <w:tcW w:w="993" w:type="dxa"/>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kern w:val="0"/>
                <w:sz w:val="24"/>
                <w:szCs w:val="24"/>
              </w:rPr>
            </w:pPr>
            <w:r>
              <w:rPr>
                <w:rFonts w:eastAsia="宋体"/>
                <w:kern w:val="0"/>
                <w:sz w:val="24"/>
                <w:szCs w:val="24"/>
              </w:rPr>
              <w:t>18</w:t>
            </w:r>
            <w:r>
              <w:rPr>
                <w:rFonts w:eastAsia="宋体"/>
                <w:kern w:val="0"/>
                <w:sz w:val="24"/>
                <w:szCs w:val="24"/>
                <w:vertAlign w:val="superscript"/>
              </w:rPr>
              <w:t>①</w:t>
            </w:r>
          </w:p>
        </w:tc>
        <w:tc>
          <w:tcPr>
            <w:tcW w:w="1114" w:type="dxa"/>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kern w:val="0"/>
                <w:sz w:val="24"/>
                <w:szCs w:val="24"/>
              </w:rPr>
            </w:pPr>
            <w:r>
              <w:rPr>
                <w:rFonts w:eastAsia="宋体"/>
                <w:kern w:val="0"/>
                <w:sz w:val="24"/>
                <w:szCs w:val="24"/>
              </w:rPr>
              <w:t>达到上级下达要求</w:t>
            </w:r>
          </w:p>
        </w:tc>
        <w:tc>
          <w:tcPr>
            <w:tcW w:w="1145" w:type="dxa"/>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kern w:val="0"/>
                <w:sz w:val="24"/>
                <w:szCs w:val="24"/>
              </w:rPr>
            </w:pPr>
            <w:r>
              <w:rPr>
                <w:rFonts w:eastAsia="宋体"/>
                <w:kern w:val="0"/>
                <w:sz w:val="24"/>
                <w:szCs w:val="24"/>
              </w:rPr>
              <w:t>约束性</w:t>
            </w:r>
          </w:p>
        </w:tc>
      </w:tr>
      <w:tr w:rsidTr="00312F60">
        <w:tblPrEx>
          <w:tblW w:w="8193" w:type="dxa"/>
          <w:jc w:val="center"/>
          <w:tblLayout w:type="fixed"/>
          <w:tblCellMar>
            <w:left w:w="0" w:type="dxa"/>
            <w:right w:w="0" w:type="dxa"/>
          </w:tblCellMar>
          <w:tblLook w:val="04A0"/>
        </w:tblPrEx>
        <w:trPr>
          <w:trHeight w:hRule="exact" w:val="622"/>
          <w:jc w:val="center"/>
        </w:trPr>
        <w:tc>
          <w:tcPr>
            <w:tcW w:w="686" w:type="dxa"/>
            <w:vMerge/>
            <w:tcBorders>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rPr>
                <w:rFonts w:eastAsia="宋体"/>
                <w:sz w:val="24"/>
                <w:szCs w:val="24"/>
              </w:rPr>
            </w:pPr>
          </w:p>
        </w:tc>
        <w:tc>
          <w:tcPr>
            <w:tcW w:w="3486" w:type="dxa"/>
            <w:gridSpan w:val="2"/>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left"/>
              <w:textAlignment w:val="center"/>
              <w:rPr>
                <w:rFonts w:eastAsia="宋体"/>
                <w:kern w:val="0"/>
                <w:sz w:val="24"/>
                <w:szCs w:val="24"/>
              </w:rPr>
            </w:pPr>
            <w:r>
              <w:rPr>
                <w:rFonts w:eastAsia="宋体"/>
                <w:kern w:val="0"/>
                <w:sz w:val="24"/>
                <w:szCs w:val="24"/>
              </w:rPr>
              <w:t>7.</w:t>
            </w:r>
            <w:r>
              <w:rPr>
                <w:rFonts w:eastAsia="宋体"/>
                <w:kern w:val="0"/>
                <w:sz w:val="24"/>
                <w:szCs w:val="24"/>
              </w:rPr>
              <w:t>非化石能源占一次能源消费比例</w:t>
            </w:r>
          </w:p>
        </w:tc>
        <w:tc>
          <w:tcPr>
            <w:tcW w:w="769" w:type="dxa"/>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kern w:val="0"/>
                <w:sz w:val="24"/>
                <w:szCs w:val="24"/>
              </w:rPr>
            </w:pPr>
            <w:r>
              <w:rPr>
                <w:rFonts w:eastAsia="宋体"/>
                <w:kern w:val="0"/>
                <w:sz w:val="24"/>
                <w:szCs w:val="24"/>
              </w:rPr>
              <w:t>%</w:t>
            </w:r>
          </w:p>
        </w:tc>
        <w:tc>
          <w:tcPr>
            <w:tcW w:w="993" w:type="dxa"/>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kern w:val="0"/>
                <w:sz w:val="24"/>
                <w:szCs w:val="24"/>
              </w:rPr>
            </w:pPr>
            <w:r>
              <w:rPr>
                <w:rFonts w:eastAsia="宋体"/>
                <w:kern w:val="0"/>
                <w:sz w:val="24"/>
                <w:szCs w:val="24"/>
              </w:rPr>
              <w:t>/</w:t>
            </w:r>
          </w:p>
        </w:tc>
        <w:tc>
          <w:tcPr>
            <w:tcW w:w="1114" w:type="dxa"/>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kern w:val="0"/>
                <w:sz w:val="24"/>
                <w:szCs w:val="24"/>
              </w:rPr>
            </w:pPr>
            <w:r>
              <w:rPr>
                <w:rFonts w:eastAsia="宋体"/>
                <w:kern w:val="0"/>
                <w:sz w:val="24"/>
                <w:szCs w:val="24"/>
              </w:rPr>
              <w:t>达到上级下达要求</w:t>
            </w:r>
          </w:p>
        </w:tc>
        <w:tc>
          <w:tcPr>
            <w:tcW w:w="1145" w:type="dxa"/>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kern w:val="0"/>
                <w:sz w:val="24"/>
                <w:szCs w:val="24"/>
              </w:rPr>
            </w:pPr>
            <w:r>
              <w:rPr>
                <w:rFonts w:eastAsia="宋体"/>
                <w:kern w:val="0"/>
                <w:sz w:val="24"/>
                <w:szCs w:val="24"/>
              </w:rPr>
              <w:t>预期性</w:t>
            </w:r>
          </w:p>
        </w:tc>
      </w:tr>
      <w:tr w:rsidTr="00312F60">
        <w:tblPrEx>
          <w:tblW w:w="8193" w:type="dxa"/>
          <w:jc w:val="center"/>
          <w:tblLayout w:type="fixed"/>
          <w:tblCellMar>
            <w:left w:w="0" w:type="dxa"/>
            <w:right w:w="0" w:type="dxa"/>
          </w:tblCellMar>
          <w:tblLook w:val="04A0"/>
        </w:tblPrEx>
        <w:trPr>
          <w:trHeight w:hRule="exact" w:val="628"/>
          <w:jc w:val="center"/>
        </w:trPr>
        <w:tc>
          <w:tcPr>
            <w:tcW w:w="686" w:type="dxa"/>
            <w:vMerge w:val="restart"/>
            <w:tcBorders>
              <w:top w:val="single" w:sz="8" w:space="0" w:color="000000"/>
              <w:left w:val="single" w:sz="8" w:space="0" w:color="000000"/>
              <w:right w:val="single" w:sz="8" w:space="0" w:color="000000"/>
            </w:tcBorders>
            <w:tcMar>
              <w:top w:w="10" w:type="dxa"/>
              <w:left w:w="10" w:type="dxa"/>
              <w:right w:w="10" w:type="dxa"/>
            </w:tcMar>
            <w:vAlign w:val="center"/>
          </w:tcPr>
          <w:p w:rsidR="00940BF8" w:rsidP="00312F60">
            <w:pPr>
              <w:spacing w:line="240" w:lineRule="auto"/>
              <w:jc w:val="center"/>
              <w:textAlignment w:val="center"/>
              <w:rPr>
                <w:rFonts w:eastAsia="宋体"/>
                <w:kern w:val="0"/>
                <w:sz w:val="24"/>
                <w:szCs w:val="24"/>
              </w:rPr>
            </w:pPr>
            <w:r>
              <w:rPr>
                <w:rFonts w:eastAsia="宋体" w:hint="eastAsia"/>
                <w:kern w:val="0"/>
                <w:sz w:val="24"/>
                <w:szCs w:val="24"/>
              </w:rPr>
              <w:t>8</w:t>
            </w:r>
          </w:p>
        </w:tc>
        <w:tc>
          <w:tcPr>
            <w:tcW w:w="3486" w:type="dxa"/>
            <w:gridSpan w:val="2"/>
            <w:tcBorders>
              <w:top w:val="single" w:sz="8" w:space="0" w:color="000000"/>
              <w:left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left"/>
              <w:textAlignment w:val="center"/>
              <w:rPr>
                <w:rFonts w:eastAsia="宋体"/>
                <w:kern w:val="0"/>
                <w:sz w:val="24"/>
                <w:szCs w:val="24"/>
              </w:rPr>
            </w:pPr>
            <w:r>
              <w:rPr>
                <w:rFonts w:eastAsia="宋体"/>
                <w:kern w:val="0"/>
                <w:sz w:val="24"/>
                <w:szCs w:val="24"/>
              </w:rPr>
              <w:t>8.</w:t>
            </w:r>
            <w:r>
              <w:rPr>
                <w:rFonts w:eastAsia="宋体"/>
                <w:kern w:val="0"/>
                <w:sz w:val="24"/>
                <w:szCs w:val="24"/>
              </w:rPr>
              <w:t>县级以上集中式饮用水水源地水质达到或优于</w:t>
            </w:r>
            <w:r>
              <w:rPr>
                <w:rFonts w:eastAsia="宋体"/>
                <w:kern w:val="0"/>
                <w:sz w:val="24"/>
                <w:szCs w:val="24"/>
              </w:rPr>
              <w:t>Ⅲ</w:t>
            </w:r>
            <w:r>
              <w:rPr>
                <w:rFonts w:eastAsia="宋体"/>
                <w:kern w:val="0"/>
                <w:sz w:val="24"/>
                <w:szCs w:val="24"/>
              </w:rPr>
              <w:t>类水比例</w:t>
            </w:r>
          </w:p>
        </w:tc>
        <w:tc>
          <w:tcPr>
            <w:tcW w:w="769" w:type="dxa"/>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kern w:val="0"/>
                <w:sz w:val="24"/>
                <w:szCs w:val="24"/>
              </w:rPr>
            </w:pPr>
            <w:r>
              <w:rPr>
                <w:rFonts w:eastAsia="宋体"/>
                <w:kern w:val="0"/>
                <w:sz w:val="24"/>
                <w:szCs w:val="24"/>
              </w:rPr>
              <w:t>%</w:t>
            </w:r>
          </w:p>
        </w:tc>
        <w:tc>
          <w:tcPr>
            <w:tcW w:w="993" w:type="dxa"/>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kern w:val="0"/>
                <w:sz w:val="24"/>
                <w:szCs w:val="24"/>
              </w:rPr>
            </w:pPr>
            <w:r>
              <w:rPr>
                <w:rFonts w:eastAsia="宋体"/>
                <w:kern w:val="0"/>
                <w:sz w:val="24"/>
                <w:szCs w:val="24"/>
              </w:rPr>
              <w:t>100</w:t>
            </w:r>
          </w:p>
        </w:tc>
        <w:tc>
          <w:tcPr>
            <w:tcW w:w="1114" w:type="dxa"/>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kern w:val="0"/>
                <w:sz w:val="24"/>
                <w:szCs w:val="24"/>
              </w:rPr>
            </w:pPr>
            <w:r>
              <w:rPr>
                <w:rFonts w:eastAsia="宋体"/>
                <w:kern w:val="0"/>
                <w:sz w:val="24"/>
                <w:szCs w:val="24"/>
              </w:rPr>
              <w:t>100</w:t>
            </w:r>
          </w:p>
        </w:tc>
        <w:tc>
          <w:tcPr>
            <w:tcW w:w="1145" w:type="dxa"/>
            <w:tcBorders>
              <w:top w:val="single" w:sz="8" w:space="0" w:color="000000"/>
              <w:left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kern w:val="0"/>
                <w:sz w:val="24"/>
                <w:szCs w:val="24"/>
              </w:rPr>
            </w:pPr>
            <w:r>
              <w:rPr>
                <w:rFonts w:eastAsia="宋体"/>
                <w:kern w:val="0"/>
                <w:sz w:val="24"/>
                <w:szCs w:val="24"/>
              </w:rPr>
              <w:t>约束性</w:t>
            </w:r>
          </w:p>
        </w:tc>
      </w:tr>
      <w:tr w:rsidTr="00312F60">
        <w:tblPrEx>
          <w:tblW w:w="8193" w:type="dxa"/>
          <w:jc w:val="center"/>
          <w:tblLayout w:type="fixed"/>
          <w:tblCellMar>
            <w:left w:w="0" w:type="dxa"/>
            <w:right w:w="0" w:type="dxa"/>
          </w:tblCellMar>
          <w:tblLook w:val="04A0"/>
        </w:tblPrEx>
        <w:trPr>
          <w:trHeight w:hRule="exact" w:val="650"/>
          <w:jc w:val="center"/>
        </w:trPr>
        <w:tc>
          <w:tcPr>
            <w:tcW w:w="686" w:type="dxa"/>
            <w:vMerge/>
            <w:tcBorders>
              <w:left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sz w:val="24"/>
                <w:szCs w:val="24"/>
              </w:rPr>
            </w:pPr>
          </w:p>
        </w:tc>
        <w:tc>
          <w:tcPr>
            <w:tcW w:w="1407" w:type="dxa"/>
            <w:vMerge w:val="restart"/>
            <w:tcBorders>
              <w:top w:val="single" w:sz="8" w:space="0" w:color="000000"/>
              <w:left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left"/>
              <w:textAlignment w:val="center"/>
              <w:rPr>
                <w:rFonts w:eastAsia="宋体"/>
                <w:kern w:val="0"/>
                <w:sz w:val="24"/>
                <w:szCs w:val="24"/>
              </w:rPr>
            </w:pPr>
            <w:r>
              <w:rPr>
                <w:rFonts w:eastAsia="宋体"/>
                <w:kern w:val="0"/>
                <w:sz w:val="24"/>
                <w:szCs w:val="24"/>
              </w:rPr>
              <w:t>9.</w:t>
            </w:r>
            <w:r>
              <w:rPr>
                <w:rFonts w:eastAsia="宋体"/>
                <w:kern w:val="0"/>
                <w:sz w:val="24"/>
                <w:szCs w:val="24"/>
              </w:rPr>
              <w:t>地表水考核断面达到或优于</w:t>
            </w:r>
            <w:r>
              <w:rPr>
                <w:rFonts w:eastAsia="宋体"/>
                <w:kern w:val="0"/>
                <w:sz w:val="24"/>
                <w:szCs w:val="24"/>
              </w:rPr>
              <w:t>Ⅲ</w:t>
            </w:r>
            <w:r>
              <w:rPr>
                <w:rFonts w:eastAsia="宋体"/>
                <w:kern w:val="0"/>
                <w:sz w:val="24"/>
                <w:szCs w:val="24"/>
              </w:rPr>
              <w:t>类水质比例</w:t>
            </w:r>
          </w:p>
        </w:tc>
        <w:tc>
          <w:tcPr>
            <w:tcW w:w="2079" w:type="dxa"/>
            <w:tcBorders>
              <w:top w:val="single" w:sz="8" w:space="0" w:color="000000"/>
              <w:left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left"/>
              <w:textAlignment w:val="center"/>
              <w:rPr>
                <w:rFonts w:eastAsia="宋体"/>
                <w:kern w:val="0"/>
                <w:sz w:val="24"/>
                <w:szCs w:val="24"/>
              </w:rPr>
            </w:pPr>
            <w:r>
              <w:rPr>
                <w:rFonts w:eastAsia="宋体"/>
                <w:kern w:val="0"/>
                <w:sz w:val="24"/>
                <w:szCs w:val="24"/>
              </w:rPr>
              <w:t>地表水国考断面达到或优于</w:t>
            </w:r>
            <w:r>
              <w:rPr>
                <w:rFonts w:eastAsia="宋体"/>
                <w:kern w:val="0"/>
                <w:sz w:val="24"/>
                <w:szCs w:val="24"/>
              </w:rPr>
              <w:t>Ⅲ</w:t>
            </w:r>
            <w:r>
              <w:rPr>
                <w:rFonts w:eastAsia="宋体"/>
                <w:kern w:val="0"/>
                <w:sz w:val="24"/>
                <w:szCs w:val="24"/>
              </w:rPr>
              <w:t>类水质比例</w:t>
            </w:r>
          </w:p>
        </w:tc>
        <w:tc>
          <w:tcPr>
            <w:tcW w:w="769" w:type="dxa"/>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kern w:val="0"/>
                <w:sz w:val="24"/>
                <w:szCs w:val="24"/>
              </w:rPr>
            </w:pPr>
            <w:r>
              <w:rPr>
                <w:rFonts w:eastAsia="宋体"/>
                <w:kern w:val="0"/>
                <w:sz w:val="24"/>
                <w:szCs w:val="24"/>
              </w:rPr>
              <w:t>%</w:t>
            </w:r>
          </w:p>
        </w:tc>
        <w:tc>
          <w:tcPr>
            <w:tcW w:w="993" w:type="dxa"/>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kern w:val="0"/>
                <w:sz w:val="24"/>
                <w:szCs w:val="24"/>
              </w:rPr>
            </w:pPr>
            <w:r>
              <w:rPr>
                <w:rFonts w:eastAsia="宋体"/>
                <w:kern w:val="0"/>
                <w:sz w:val="24"/>
                <w:szCs w:val="24"/>
              </w:rPr>
              <w:t>100</w:t>
            </w:r>
          </w:p>
        </w:tc>
        <w:tc>
          <w:tcPr>
            <w:tcW w:w="1114" w:type="dxa"/>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kern w:val="0"/>
                <w:sz w:val="24"/>
                <w:szCs w:val="24"/>
              </w:rPr>
            </w:pPr>
            <w:r>
              <w:rPr>
                <w:rFonts w:eastAsia="宋体"/>
                <w:kern w:val="0"/>
                <w:sz w:val="24"/>
                <w:szCs w:val="24"/>
              </w:rPr>
              <w:t>100</w:t>
            </w:r>
          </w:p>
        </w:tc>
        <w:tc>
          <w:tcPr>
            <w:tcW w:w="1145" w:type="dxa"/>
            <w:vMerge w:val="restart"/>
            <w:tcBorders>
              <w:top w:val="single" w:sz="8" w:space="0" w:color="000000"/>
              <w:left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kern w:val="0"/>
                <w:sz w:val="24"/>
                <w:szCs w:val="24"/>
              </w:rPr>
            </w:pPr>
            <w:r>
              <w:rPr>
                <w:rFonts w:eastAsia="宋体"/>
                <w:kern w:val="0"/>
                <w:sz w:val="24"/>
                <w:szCs w:val="24"/>
              </w:rPr>
              <w:t>约束性</w:t>
            </w:r>
          </w:p>
        </w:tc>
      </w:tr>
      <w:tr w:rsidTr="00312F60">
        <w:tblPrEx>
          <w:tblW w:w="8193" w:type="dxa"/>
          <w:jc w:val="center"/>
          <w:tblLayout w:type="fixed"/>
          <w:tblCellMar>
            <w:left w:w="0" w:type="dxa"/>
            <w:right w:w="0" w:type="dxa"/>
          </w:tblCellMar>
          <w:tblLook w:val="04A0"/>
        </w:tblPrEx>
        <w:trPr>
          <w:trHeight w:hRule="exact" w:val="655"/>
          <w:jc w:val="center"/>
        </w:trPr>
        <w:tc>
          <w:tcPr>
            <w:tcW w:w="686" w:type="dxa"/>
            <w:vMerge/>
            <w:tcBorders>
              <w:left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rPr>
                <w:rFonts w:eastAsia="宋体"/>
                <w:sz w:val="24"/>
                <w:szCs w:val="24"/>
              </w:rPr>
            </w:pPr>
          </w:p>
        </w:tc>
        <w:tc>
          <w:tcPr>
            <w:tcW w:w="1407" w:type="dxa"/>
            <w:vMerge/>
            <w:tcBorders>
              <w:left w:val="single" w:sz="8" w:space="0" w:color="000000"/>
              <w:right w:val="single" w:sz="8" w:space="0" w:color="000000"/>
            </w:tcBorders>
            <w:tcMar>
              <w:top w:w="10" w:type="dxa"/>
              <w:left w:w="10" w:type="dxa"/>
              <w:right w:w="10" w:type="dxa"/>
            </w:tcMar>
            <w:vAlign w:val="center"/>
          </w:tcPr>
          <w:p w:rsidR="00940BF8" w:rsidP="00312F60">
            <w:pPr>
              <w:widowControl/>
              <w:spacing w:line="240" w:lineRule="auto"/>
              <w:ind w:firstLine="320" w:firstLineChars="100"/>
              <w:jc w:val="left"/>
              <w:textAlignment w:val="center"/>
              <w:rPr>
                <w:rFonts w:eastAsia="宋体"/>
                <w:sz w:val="24"/>
                <w:szCs w:val="24"/>
              </w:rPr>
            </w:pPr>
          </w:p>
        </w:tc>
        <w:tc>
          <w:tcPr>
            <w:tcW w:w="2079" w:type="dxa"/>
            <w:tcBorders>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textAlignment w:val="center"/>
              <w:rPr>
                <w:rFonts w:eastAsia="宋体"/>
                <w:sz w:val="24"/>
                <w:szCs w:val="24"/>
              </w:rPr>
            </w:pPr>
            <w:r>
              <w:rPr>
                <w:rFonts w:eastAsia="宋体"/>
                <w:kern w:val="0"/>
                <w:sz w:val="24"/>
                <w:szCs w:val="24"/>
              </w:rPr>
              <w:t>地表水省考断面达到或优于</w:t>
            </w:r>
            <w:r>
              <w:rPr>
                <w:rFonts w:eastAsia="宋体"/>
                <w:kern w:val="0"/>
                <w:sz w:val="24"/>
                <w:szCs w:val="24"/>
              </w:rPr>
              <w:t>Ⅲ</w:t>
            </w:r>
            <w:r>
              <w:rPr>
                <w:rFonts w:eastAsia="宋体"/>
                <w:kern w:val="0"/>
                <w:sz w:val="24"/>
                <w:szCs w:val="24"/>
              </w:rPr>
              <w:t>类水质比例</w:t>
            </w:r>
          </w:p>
        </w:tc>
        <w:tc>
          <w:tcPr>
            <w:tcW w:w="769" w:type="dxa"/>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sz w:val="24"/>
                <w:szCs w:val="24"/>
              </w:rPr>
            </w:pPr>
            <w:r>
              <w:rPr>
                <w:rFonts w:eastAsia="宋体"/>
                <w:kern w:val="0"/>
                <w:sz w:val="24"/>
                <w:szCs w:val="24"/>
              </w:rPr>
              <w:t>%</w:t>
            </w:r>
          </w:p>
        </w:tc>
        <w:tc>
          <w:tcPr>
            <w:tcW w:w="993" w:type="dxa"/>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kern w:val="0"/>
                <w:sz w:val="24"/>
                <w:szCs w:val="24"/>
              </w:rPr>
            </w:pPr>
            <w:r>
              <w:rPr>
                <w:rFonts w:eastAsia="宋体"/>
                <w:kern w:val="0"/>
                <w:sz w:val="24"/>
                <w:szCs w:val="24"/>
              </w:rPr>
              <w:t>100</w:t>
            </w:r>
          </w:p>
        </w:tc>
        <w:tc>
          <w:tcPr>
            <w:tcW w:w="1114" w:type="dxa"/>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rPr>
                <w:rFonts w:eastAsia="宋体"/>
                <w:sz w:val="24"/>
                <w:szCs w:val="24"/>
              </w:rPr>
            </w:pPr>
            <w:r>
              <w:rPr>
                <w:rFonts w:eastAsia="宋体"/>
                <w:kern w:val="0"/>
                <w:sz w:val="24"/>
                <w:szCs w:val="24"/>
              </w:rPr>
              <w:t>100</w:t>
            </w:r>
          </w:p>
        </w:tc>
        <w:tc>
          <w:tcPr>
            <w:tcW w:w="1145" w:type="dxa"/>
            <w:vMerge/>
            <w:tcBorders>
              <w:left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sz w:val="24"/>
                <w:szCs w:val="24"/>
              </w:rPr>
            </w:pPr>
          </w:p>
        </w:tc>
      </w:tr>
      <w:tr w:rsidTr="00312F60">
        <w:tblPrEx>
          <w:tblW w:w="8193" w:type="dxa"/>
          <w:jc w:val="center"/>
          <w:tblLayout w:type="fixed"/>
          <w:tblCellMar>
            <w:left w:w="0" w:type="dxa"/>
            <w:right w:w="0" w:type="dxa"/>
          </w:tblCellMar>
          <w:tblLook w:val="04A0"/>
        </w:tblPrEx>
        <w:trPr>
          <w:trHeight w:hRule="exact" w:val="397"/>
          <w:jc w:val="center"/>
        </w:trPr>
        <w:tc>
          <w:tcPr>
            <w:tcW w:w="686" w:type="dxa"/>
            <w:vMerge/>
            <w:tcBorders>
              <w:left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rPr>
                <w:rFonts w:eastAsia="宋体"/>
                <w:sz w:val="24"/>
                <w:szCs w:val="24"/>
              </w:rPr>
            </w:pPr>
          </w:p>
        </w:tc>
        <w:tc>
          <w:tcPr>
            <w:tcW w:w="1407" w:type="dxa"/>
            <w:vMerge w:val="restart"/>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textAlignment w:val="center"/>
              <w:rPr>
                <w:rFonts w:eastAsia="宋体"/>
                <w:sz w:val="24"/>
                <w:szCs w:val="24"/>
              </w:rPr>
            </w:pPr>
            <w:r>
              <w:rPr>
                <w:rFonts w:eastAsia="宋体"/>
                <w:kern w:val="0"/>
                <w:sz w:val="24"/>
                <w:szCs w:val="24"/>
              </w:rPr>
              <w:t>10.</w:t>
            </w:r>
            <w:r>
              <w:rPr>
                <w:rFonts w:eastAsia="宋体"/>
                <w:kern w:val="0"/>
                <w:sz w:val="24"/>
                <w:szCs w:val="24"/>
              </w:rPr>
              <w:t>水污染物排放量削减比例</w:t>
            </w:r>
          </w:p>
        </w:tc>
        <w:tc>
          <w:tcPr>
            <w:tcW w:w="2079" w:type="dxa"/>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sz w:val="24"/>
                <w:szCs w:val="24"/>
              </w:rPr>
            </w:pPr>
            <w:r>
              <w:rPr>
                <w:rFonts w:eastAsia="宋体"/>
                <w:kern w:val="0"/>
                <w:sz w:val="24"/>
                <w:szCs w:val="24"/>
              </w:rPr>
              <w:t>COD</w:t>
            </w:r>
          </w:p>
        </w:tc>
        <w:tc>
          <w:tcPr>
            <w:tcW w:w="769" w:type="dxa"/>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sz w:val="24"/>
                <w:szCs w:val="24"/>
              </w:rPr>
            </w:pPr>
            <w:r>
              <w:rPr>
                <w:rFonts w:eastAsia="宋体"/>
                <w:kern w:val="0"/>
                <w:sz w:val="24"/>
                <w:szCs w:val="24"/>
              </w:rPr>
              <w:t>%</w:t>
            </w:r>
          </w:p>
        </w:tc>
        <w:tc>
          <w:tcPr>
            <w:tcW w:w="993" w:type="dxa"/>
            <w:vMerge w:val="restart"/>
            <w:tcBorders>
              <w:top w:val="single" w:sz="8" w:space="0" w:color="000000"/>
              <w:left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kern w:val="0"/>
                <w:sz w:val="24"/>
                <w:szCs w:val="24"/>
              </w:rPr>
            </w:pPr>
            <w:r>
              <w:rPr>
                <w:rFonts w:eastAsia="宋体"/>
                <w:kern w:val="0"/>
                <w:sz w:val="24"/>
                <w:szCs w:val="24"/>
              </w:rPr>
              <w:t>达到上级下达要求</w:t>
            </w:r>
          </w:p>
        </w:tc>
        <w:tc>
          <w:tcPr>
            <w:tcW w:w="1114" w:type="dxa"/>
            <w:vMerge w:val="restart"/>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sz w:val="24"/>
                <w:szCs w:val="24"/>
              </w:rPr>
            </w:pPr>
            <w:r>
              <w:rPr>
                <w:rFonts w:eastAsia="宋体"/>
                <w:kern w:val="0"/>
                <w:sz w:val="24"/>
                <w:szCs w:val="24"/>
              </w:rPr>
              <w:t>达到上级下达要求</w:t>
            </w:r>
          </w:p>
        </w:tc>
        <w:tc>
          <w:tcPr>
            <w:tcW w:w="1145" w:type="dxa"/>
            <w:vMerge w:val="restart"/>
            <w:tcBorders>
              <w:top w:val="single" w:sz="8" w:space="0" w:color="000000"/>
              <w:left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sz w:val="24"/>
                <w:szCs w:val="24"/>
              </w:rPr>
            </w:pPr>
            <w:r>
              <w:rPr>
                <w:rFonts w:eastAsia="宋体"/>
                <w:kern w:val="0"/>
                <w:sz w:val="24"/>
                <w:szCs w:val="24"/>
              </w:rPr>
              <w:t>约束性</w:t>
            </w:r>
          </w:p>
        </w:tc>
      </w:tr>
      <w:tr w:rsidTr="00312F60">
        <w:tblPrEx>
          <w:tblW w:w="8193" w:type="dxa"/>
          <w:jc w:val="center"/>
          <w:tblLayout w:type="fixed"/>
          <w:tblCellMar>
            <w:left w:w="0" w:type="dxa"/>
            <w:right w:w="0" w:type="dxa"/>
          </w:tblCellMar>
          <w:tblLook w:val="04A0"/>
        </w:tblPrEx>
        <w:trPr>
          <w:trHeight w:hRule="exact" w:val="397"/>
          <w:jc w:val="center"/>
        </w:trPr>
        <w:tc>
          <w:tcPr>
            <w:tcW w:w="686" w:type="dxa"/>
            <w:vMerge/>
            <w:tcBorders>
              <w:left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rPr>
                <w:rFonts w:eastAsia="宋体"/>
                <w:sz w:val="24"/>
                <w:szCs w:val="24"/>
              </w:rPr>
            </w:pPr>
          </w:p>
        </w:tc>
        <w:tc>
          <w:tcPr>
            <w:tcW w:w="1407" w:type="dxa"/>
            <w:vMerge/>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rPr>
                <w:rFonts w:eastAsia="宋体"/>
                <w:sz w:val="24"/>
                <w:szCs w:val="24"/>
              </w:rPr>
            </w:pPr>
          </w:p>
        </w:tc>
        <w:tc>
          <w:tcPr>
            <w:tcW w:w="2079" w:type="dxa"/>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sz w:val="24"/>
                <w:szCs w:val="24"/>
              </w:rPr>
            </w:pPr>
            <w:r>
              <w:rPr>
                <w:rFonts w:eastAsia="宋体"/>
                <w:kern w:val="0"/>
                <w:sz w:val="24"/>
                <w:szCs w:val="24"/>
              </w:rPr>
              <w:t>氨氮</w:t>
            </w:r>
          </w:p>
        </w:tc>
        <w:tc>
          <w:tcPr>
            <w:tcW w:w="769" w:type="dxa"/>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sz w:val="24"/>
                <w:szCs w:val="24"/>
              </w:rPr>
            </w:pPr>
            <w:r>
              <w:rPr>
                <w:rFonts w:eastAsia="宋体"/>
                <w:kern w:val="0"/>
                <w:sz w:val="24"/>
                <w:szCs w:val="24"/>
              </w:rPr>
              <w:t>%</w:t>
            </w:r>
          </w:p>
        </w:tc>
        <w:tc>
          <w:tcPr>
            <w:tcW w:w="993" w:type="dxa"/>
            <w:vMerge/>
            <w:tcBorders>
              <w:left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rPr>
                <w:rFonts w:eastAsia="宋体"/>
                <w:sz w:val="24"/>
                <w:szCs w:val="24"/>
              </w:rPr>
            </w:pPr>
          </w:p>
        </w:tc>
        <w:tc>
          <w:tcPr>
            <w:tcW w:w="1114" w:type="dxa"/>
            <w:vMerge/>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rPr>
                <w:rFonts w:eastAsia="宋体"/>
                <w:sz w:val="24"/>
                <w:szCs w:val="24"/>
              </w:rPr>
            </w:pPr>
          </w:p>
        </w:tc>
        <w:tc>
          <w:tcPr>
            <w:tcW w:w="1145" w:type="dxa"/>
            <w:vMerge/>
            <w:tcBorders>
              <w:left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sz w:val="24"/>
                <w:szCs w:val="24"/>
              </w:rPr>
            </w:pPr>
          </w:p>
        </w:tc>
      </w:tr>
      <w:tr w:rsidTr="00312F60">
        <w:tblPrEx>
          <w:tblW w:w="8193" w:type="dxa"/>
          <w:jc w:val="center"/>
          <w:tblLayout w:type="fixed"/>
          <w:tblCellMar>
            <w:left w:w="0" w:type="dxa"/>
            <w:right w:w="0" w:type="dxa"/>
          </w:tblCellMar>
          <w:tblLook w:val="04A0"/>
        </w:tblPrEx>
        <w:trPr>
          <w:trHeight w:hRule="exact" w:val="397"/>
          <w:jc w:val="center"/>
        </w:trPr>
        <w:tc>
          <w:tcPr>
            <w:tcW w:w="686" w:type="dxa"/>
            <w:vMerge/>
            <w:tcBorders>
              <w:left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rPr>
                <w:rFonts w:eastAsia="宋体"/>
                <w:sz w:val="24"/>
                <w:szCs w:val="24"/>
              </w:rPr>
            </w:pPr>
          </w:p>
        </w:tc>
        <w:tc>
          <w:tcPr>
            <w:tcW w:w="1407" w:type="dxa"/>
            <w:vMerge/>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rPr>
                <w:rFonts w:eastAsia="宋体"/>
                <w:sz w:val="24"/>
                <w:szCs w:val="24"/>
              </w:rPr>
            </w:pPr>
          </w:p>
        </w:tc>
        <w:tc>
          <w:tcPr>
            <w:tcW w:w="2079" w:type="dxa"/>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kern w:val="0"/>
                <w:sz w:val="24"/>
                <w:szCs w:val="24"/>
              </w:rPr>
            </w:pPr>
            <w:r>
              <w:rPr>
                <w:rFonts w:eastAsia="宋体"/>
                <w:kern w:val="0"/>
                <w:sz w:val="24"/>
                <w:szCs w:val="24"/>
              </w:rPr>
              <w:t>总氮</w:t>
            </w:r>
          </w:p>
        </w:tc>
        <w:tc>
          <w:tcPr>
            <w:tcW w:w="769" w:type="dxa"/>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kern w:val="0"/>
                <w:sz w:val="24"/>
                <w:szCs w:val="24"/>
              </w:rPr>
            </w:pPr>
            <w:r>
              <w:rPr>
                <w:rFonts w:eastAsia="宋体" w:hint="eastAsia"/>
                <w:kern w:val="0"/>
                <w:sz w:val="24"/>
                <w:szCs w:val="24"/>
              </w:rPr>
              <w:t>%</w:t>
            </w:r>
          </w:p>
        </w:tc>
        <w:tc>
          <w:tcPr>
            <w:tcW w:w="993" w:type="dxa"/>
            <w:vMerge/>
            <w:tcBorders>
              <w:left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rPr>
                <w:rFonts w:eastAsia="宋体"/>
                <w:sz w:val="24"/>
                <w:szCs w:val="24"/>
              </w:rPr>
            </w:pPr>
          </w:p>
        </w:tc>
        <w:tc>
          <w:tcPr>
            <w:tcW w:w="1114" w:type="dxa"/>
            <w:vMerge/>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rPr>
                <w:rFonts w:eastAsia="宋体"/>
                <w:sz w:val="24"/>
                <w:szCs w:val="24"/>
              </w:rPr>
            </w:pPr>
          </w:p>
        </w:tc>
        <w:tc>
          <w:tcPr>
            <w:tcW w:w="1145" w:type="dxa"/>
            <w:vMerge/>
            <w:tcBorders>
              <w:left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sz w:val="24"/>
                <w:szCs w:val="24"/>
              </w:rPr>
            </w:pPr>
          </w:p>
        </w:tc>
      </w:tr>
      <w:tr w:rsidTr="00312F60">
        <w:tblPrEx>
          <w:tblW w:w="8193" w:type="dxa"/>
          <w:jc w:val="center"/>
          <w:tblLayout w:type="fixed"/>
          <w:tblCellMar>
            <w:left w:w="0" w:type="dxa"/>
            <w:right w:w="0" w:type="dxa"/>
          </w:tblCellMar>
          <w:tblLook w:val="04A0"/>
        </w:tblPrEx>
        <w:trPr>
          <w:trHeight w:hRule="exact" w:val="397"/>
          <w:jc w:val="center"/>
        </w:trPr>
        <w:tc>
          <w:tcPr>
            <w:tcW w:w="686" w:type="dxa"/>
            <w:vMerge/>
            <w:tcBorders>
              <w:left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rPr>
                <w:rFonts w:eastAsia="宋体"/>
                <w:sz w:val="24"/>
                <w:szCs w:val="24"/>
              </w:rPr>
            </w:pPr>
          </w:p>
        </w:tc>
        <w:tc>
          <w:tcPr>
            <w:tcW w:w="1407" w:type="dxa"/>
            <w:vMerge/>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rPr>
                <w:rFonts w:eastAsia="宋体"/>
                <w:sz w:val="24"/>
                <w:szCs w:val="24"/>
              </w:rPr>
            </w:pPr>
          </w:p>
        </w:tc>
        <w:tc>
          <w:tcPr>
            <w:tcW w:w="2079" w:type="dxa"/>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sz w:val="24"/>
                <w:szCs w:val="24"/>
              </w:rPr>
            </w:pPr>
            <w:r>
              <w:rPr>
                <w:rFonts w:eastAsia="宋体"/>
                <w:kern w:val="0"/>
                <w:sz w:val="24"/>
                <w:szCs w:val="24"/>
              </w:rPr>
              <w:t>总磷</w:t>
            </w:r>
          </w:p>
        </w:tc>
        <w:tc>
          <w:tcPr>
            <w:tcW w:w="769" w:type="dxa"/>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sz w:val="24"/>
                <w:szCs w:val="24"/>
              </w:rPr>
            </w:pPr>
            <w:r>
              <w:rPr>
                <w:rFonts w:eastAsia="宋体"/>
                <w:kern w:val="0"/>
                <w:sz w:val="24"/>
                <w:szCs w:val="24"/>
              </w:rPr>
              <w:t>%</w:t>
            </w:r>
          </w:p>
        </w:tc>
        <w:tc>
          <w:tcPr>
            <w:tcW w:w="993" w:type="dxa"/>
            <w:vMerge/>
            <w:tcBorders>
              <w:left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rPr>
                <w:rFonts w:eastAsia="宋体"/>
                <w:sz w:val="24"/>
                <w:szCs w:val="24"/>
              </w:rPr>
            </w:pPr>
          </w:p>
        </w:tc>
        <w:tc>
          <w:tcPr>
            <w:tcW w:w="1114" w:type="dxa"/>
            <w:vMerge/>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rPr>
                <w:rFonts w:eastAsia="宋体"/>
                <w:sz w:val="24"/>
                <w:szCs w:val="24"/>
              </w:rPr>
            </w:pPr>
          </w:p>
        </w:tc>
        <w:tc>
          <w:tcPr>
            <w:tcW w:w="1145" w:type="dxa"/>
            <w:vMerge/>
            <w:tcBorders>
              <w:left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sz w:val="24"/>
                <w:szCs w:val="24"/>
              </w:rPr>
            </w:pPr>
          </w:p>
        </w:tc>
      </w:tr>
      <w:tr w:rsidTr="00312F60">
        <w:tblPrEx>
          <w:tblW w:w="8193" w:type="dxa"/>
          <w:jc w:val="center"/>
          <w:tblLayout w:type="fixed"/>
          <w:tblCellMar>
            <w:left w:w="0" w:type="dxa"/>
            <w:right w:w="0" w:type="dxa"/>
          </w:tblCellMar>
          <w:tblLook w:val="04A0"/>
        </w:tblPrEx>
        <w:trPr>
          <w:trHeight w:hRule="exact" w:val="714"/>
          <w:jc w:val="center"/>
        </w:trPr>
        <w:tc>
          <w:tcPr>
            <w:tcW w:w="686" w:type="dxa"/>
            <w:vMerge w:val="restart"/>
            <w:tcBorders>
              <w:top w:val="single" w:sz="8" w:space="0" w:color="000000"/>
              <w:left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sz w:val="24"/>
                <w:szCs w:val="24"/>
              </w:rPr>
            </w:pPr>
            <w:r>
              <w:rPr>
                <w:rFonts w:eastAsia="宋体"/>
                <w:kern w:val="0"/>
                <w:sz w:val="24"/>
                <w:szCs w:val="24"/>
              </w:rPr>
              <w:t>土壤环境</w:t>
            </w:r>
          </w:p>
        </w:tc>
        <w:tc>
          <w:tcPr>
            <w:tcW w:w="3486" w:type="dxa"/>
            <w:gridSpan w:val="2"/>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left"/>
              <w:textAlignment w:val="center"/>
              <w:rPr>
                <w:rFonts w:eastAsia="宋体"/>
                <w:color w:val="000000"/>
                <w:sz w:val="24"/>
                <w:szCs w:val="24"/>
              </w:rPr>
            </w:pPr>
            <w:r>
              <w:rPr>
                <w:rFonts w:eastAsia="宋体"/>
                <w:color w:val="000000"/>
                <w:kern w:val="0"/>
                <w:sz w:val="24"/>
                <w:szCs w:val="24"/>
              </w:rPr>
              <w:t>11.</w:t>
            </w:r>
            <w:r>
              <w:rPr>
                <w:rFonts w:eastAsia="宋体"/>
                <w:color w:val="000000"/>
                <w:kern w:val="0"/>
                <w:sz w:val="24"/>
                <w:szCs w:val="24"/>
              </w:rPr>
              <w:t>受污染耕地安全利用率</w:t>
            </w:r>
          </w:p>
        </w:tc>
        <w:tc>
          <w:tcPr>
            <w:tcW w:w="769" w:type="dxa"/>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color w:val="000000"/>
                <w:sz w:val="24"/>
                <w:szCs w:val="24"/>
              </w:rPr>
            </w:pPr>
            <w:r>
              <w:rPr>
                <w:rFonts w:eastAsia="宋体"/>
                <w:color w:val="000000"/>
                <w:kern w:val="0"/>
                <w:sz w:val="24"/>
                <w:szCs w:val="24"/>
              </w:rPr>
              <w:t>%</w:t>
            </w:r>
          </w:p>
        </w:tc>
        <w:tc>
          <w:tcPr>
            <w:tcW w:w="993" w:type="dxa"/>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color w:val="000000"/>
                <w:sz w:val="24"/>
                <w:szCs w:val="24"/>
              </w:rPr>
            </w:pPr>
            <w:r>
              <w:rPr>
                <w:rFonts w:eastAsia="宋体"/>
                <w:color w:val="000000"/>
                <w:sz w:val="24"/>
                <w:szCs w:val="24"/>
              </w:rPr>
              <w:t>90</w:t>
            </w:r>
            <w:r>
              <w:rPr>
                <w:rFonts w:eastAsia="宋体"/>
                <w:color w:val="000000"/>
                <w:sz w:val="24"/>
                <w:szCs w:val="24"/>
                <w:vertAlign w:val="superscript"/>
              </w:rPr>
              <w:t>③</w:t>
            </w:r>
          </w:p>
        </w:tc>
        <w:tc>
          <w:tcPr>
            <w:tcW w:w="1114" w:type="dxa"/>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color w:val="000000"/>
                <w:kern w:val="0"/>
                <w:sz w:val="24"/>
                <w:szCs w:val="24"/>
              </w:rPr>
            </w:pPr>
            <w:r w:rsidRPr="00A637E7">
              <w:rPr>
                <w:rFonts w:eastAsia="宋体"/>
                <w:kern w:val="0"/>
                <w:sz w:val="24"/>
                <w:szCs w:val="24"/>
              </w:rPr>
              <w:t>达到上级下达要求</w:t>
            </w:r>
          </w:p>
        </w:tc>
        <w:tc>
          <w:tcPr>
            <w:tcW w:w="1145" w:type="dxa"/>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color w:val="000000"/>
                <w:sz w:val="24"/>
                <w:szCs w:val="24"/>
              </w:rPr>
            </w:pPr>
            <w:r>
              <w:rPr>
                <w:rFonts w:eastAsia="宋体"/>
                <w:kern w:val="0"/>
                <w:sz w:val="24"/>
                <w:szCs w:val="24"/>
              </w:rPr>
              <w:t>预期性</w:t>
            </w:r>
          </w:p>
        </w:tc>
      </w:tr>
      <w:tr w:rsidTr="00312F60">
        <w:tblPrEx>
          <w:tblW w:w="8193" w:type="dxa"/>
          <w:jc w:val="center"/>
          <w:tblLayout w:type="fixed"/>
          <w:tblCellMar>
            <w:left w:w="0" w:type="dxa"/>
            <w:right w:w="0" w:type="dxa"/>
          </w:tblCellMar>
          <w:tblLook w:val="04A0"/>
        </w:tblPrEx>
        <w:trPr>
          <w:trHeight w:hRule="exact" w:val="714"/>
          <w:jc w:val="center"/>
        </w:trPr>
        <w:tc>
          <w:tcPr>
            <w:tcW w:w="686" w:type="dxa"/>
            <w:vMerge/>
            <w:tcBorders>
              <w:left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rPr>
                <w:rFonts w:eastAsia="宋体"/>
                <w:sz w:val="24"/>
                <w:szCs w:val="24"/>
              </w:rPr>
            </w:pPr>
          </w:p>
        </w:tc>
        <w:tc>
          <w:tcPr>
            <w:tcW w:w="3486" w:type="dxa"/>
            <w:gridSpan w:val="2"/>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RPr="00A637E7" w:rsidP="00312F60">
            <w:pPr>
              <w:widowControl/>
              <w:spacing w:line="240" w:lineRule="auto"/>
              <w:jc w:val="left"/>
              <w:textAlignment w:val="center"/>
              <w:rPr>
                <w:rFonts w:eastAsia="宋体"/>
                <w:sz w:val="24"/>
                <w:szCs w:val="24"/>
              </w:rPr>
            </w:pPr>
            <w:r w:rsidRPr="00A637E7">
              <w:rPr>
                <w:rFonts w:eastAsia="宋体"/>
                <w:kern w:val="0"/>
                <w:sz w:val="24"/>
                <w:szCs w:val="24"/>
              </w:rPr>
              <w:t>1</w:t>
            </w:r>
            <w:r>
              <w:rPr>
                <w:rFonts w:eastAsia="宋体"/>
                <w:kern w:val="0"/>
                <w:sz w:val="24"/>
                <w:szCs w:val="24"/>
              </w:rPr>
              <w:t>2</w:t>
            </w:r>
            <w:r w:rsidRPr="00A637E7">
              <w:rPr>
                <w:rFonts w:eastAsia="宋体"/>
                <w:kern w:val="0"/>
                <w:sz w:val="24"/>
                <w:szCs w:val="24"/>
              </w:rPr>
              <w:t>.</w:t>
            </w:r>
            <w:r w:rsidRPr="00A637E7">
              <w:rPr>
                <w:rFonts w:eastAsia="宋体" w:hint="eastAsia"/>
                <w:kern w:val="0"/>
                <w:sz w:val="24"/>
                <w:szCs w:val="24"/>
              </w:rPr>
              <w:t>重点</w:t>
            </w:r>
            <w:r w:rsidRPr="00A637E7">
              <w:rPr>
                <w:rFonts w:eastAsia="宋体"/>
                <w:kern w:val="0"/>
                <w:sz w:val="24"/>
                <w:szCs w:val="24"/>
              </w:rPr>
              <w:t>建设用地安全利用率</w:t>
            </w:r>
          </w:p>
        </w:tc>
        <w:tc>
          <w:tcPr>
            <w:tcW w:w="769" w:type="dxa"/>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RPr="00A637E7" w:rsidP="00312F60">
            <w:pPr>
              <w:widowControl/>
              <w:spacing w:line="240" w:lineRule="auto"/>
              <w:jc w:val="center"/>
              <w:textAlignment w:val="center"/>
              <w:rPr>
                <w:rFonts w:eastAsia="宋体"/>
                <w:sz w:val="24"/>
                <w:szCs w:val="24"/>
              </w:rPr>
            </w:pPr>
            <w:r w:rsidRPr="00A637E7">
              <w:rPr>
                <w:rFonts w:eastAsia="宋体"/>
                <w:kern w:val="0"/>
                <w:sz w:val="24"/>
                <w:szCs w:val="24"/>
              </w:rPr>
              <w:t>%</w:t>
            </w:r>
          </w:p>
        </w:tc>
        <w:tc>
          <w:tcPr>
            <w:tcW w:w="993" w:type="dxa"/>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RPr="00A637E7" w:rsidP="00312F60">
            <w:pPr>
              <w:widowControl/>
              <w:spacing w:line="240" w:lineRule="auto"/>
              <w:jc w:val="center"/>
              <w:textAlignment w:val="center"/>
              <w:rPr>
                <w:rFonts w:eastAsia="宋体"/>
                <w:sz w:val="24"/>
                <w:szCs w:val="24"/>
              </w:rPr>
            </w:pPr>
            <w:r>
              <w:rPr>
                <w:rFonts w:eastAsia="宋体"/>
                <w:sz w:val="24"/>
                <w:szCs w:val="24"/>
              </w:rPr>
              <w:t>/</w:t>
            </w:r>
          </w:p>
        </w:tc>
        <w:tc>
          <w:tcPr>
            <w:tcW w:w="1114" w:type="dxa"/>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RPr="00A637E7" w:rsidP="00312F60">
            <w:pPr>
              <w:widowControl/>
              <w:spacing w:line="240" w:lineRule="auto"/>
              <w:jc w:val="center"/>
              <w:textAlignment w:val="center"/>
              <w:rPr>
                <w:rFonts w:eastAsia="宋体"/>
                <w:kern w:val="0"/>
                <w:sz w:val="24"/>
                <w:szCs w:val="24"/>
              </w:rPr>
            </w:pPr>
            <w:r w:rsidRPr="00A637E7">
              <w:rPr>
                <w:rFonts w:eastAsia="宋体"/>
                <w:kern w:val="0"/>
                <w:sz w:val="24"/>
                <w:szCs w:val="24"/>
              </w:rPr>
              <w:t>达到上级下达要求</w:t>
            </w:r>
          </w:p>
        </w:tc>
        <w:tc>
          <w:tcPr>
            <w:tcW w:w="1145" w:type="dxa"/>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RPr="00A637E7" w:rsidP="00312F60">
            <w:pPr>
              <w:widowControl/>
              <w:spacing w:line="240" w:lineRule="auto"/>
              <w:jc w:val="center"/>
              <w:textAlignment w:val="center"/>
              <w:rPr>
                <w:rFonts w:eastAsia="宋体"/>
                <w:sz w:val="24"/>
                <w:szCs w:val="24"/>
              </w:rPr>
            </w:pPr>
            <w:r w:rsidRPr="00A637E7">
              <w:rPr>
                <w:rFonts w:eastAsia="宋体"/>
                <w:kern w:val="0"/>
                <w:sz w:val="24"/>
                <w:szCs w:val="24"/>
              </w:rPr>
              <w:t>预期性</w:t>
            </w:r>
          </w:p>
        </w:tc>
      </w:tr>
      <w:tr w:rsidTr="00312F60">
        <w:tblPrEx>
          <w:tblW w:w="8193" w:type="dxa"/>
          <w:jc w:val="center"/>
          <w:tblLayout w:type="fixed"/>
          <w:tblCellMar>
            <w:left w:w="0" w:type="dxa"/>
            <w:right w:w="0" w:type="dxa"/>
          </w:tblCellMar>
          <w:tblLook w:val="04A0"/>
        </w:tblPrEx>
        <w:trPr>
          <w:trHeight w:hRule="exact" w:val="397"/>
          <w:jc w:val="center"/>
        </w:trPr>
        <w:tc>
          <w:tcPr>
            <w:tcW w:w="686" w:type="dxa"/>
            <w:vMerge/>
            <w:tcBorders>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rPr>
                <w:rFonts w:eastAsia="宋体"/>
                <w:sz w:val="24"/>
                <w:szCs w:val="24"/>
              </w:rPr>
            </w:pPr>
          </w:p>
        </w:tc>
        <w:tc>
          <w:tcPr>
            <w:tcW w:w="3486" w:type="dxa"/>
            <w:gridSpan w:val="2"/>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left"/>
              <w:textAlignment w:val="center"/>
              <w:rPr>
                <w:rFonts w:eastAsia="宋体"/>
                <w:kern w:val="0"/>
                <w:sz w:val="24"/>
                <w:szCs w:val="24"/>
              </w:rPr>
            </w:pPr>
            <w:r>
              <w:rPr>
                <w:rFonts w:eastAsia="宋体"/>
                <w:kern w:val="0"/>
                <w:sz w:val="24"/>
                <w:szCs w:val="24"/>
              </w:rPr>
              <w:t>13.</w:t>
            </w:r>
            <w:r>
              <w:rPr>
                <w:rFonts w:eastAsia="宋体"/>
                <w:kern w:val="0"/>
                <w:sz w:val="24"/>
                <w:szCs w:val="24"/>
              </w:rPr>
              <w:t>地下水</w:t>
            </w:r>
            <w:r>
              <w:rPr>
                <w:rFonts w:eastAsia="宋体"/>
                <w:kern w:val="0"/>
                <w:sz w:val="24"/>
                <w:szCs w:val="24"/>
              </w:rPr>
              <w:t>V</w:t>
            </w:r>
            <w:r>
              <w:rPr>
                <w:rFonts w:eastAsia="宋体"/>
                <w:kern w:val="0"/>
                <w:sz w:val="24"/>
                <w:szCs w:val="24"/>
              </w:rPr>
              <w:t>类水比例</w:t>
            </w:r>
            <w:r>
              <w:rPr>
                <w:rFonts w:ascii="宋体" w:eastAsia="宋体" w:hAnsi="宋体" w:cs="宋体" w:hint="eastAsia"/>
                <w:color w:val="000000"/>
                <w:sz w:val="24"/>
                <w:szCs w:val="24"/>
                <w:vertAlign w:val="superscript"/>
              </w:rPr>
              <w:t>④</w:t>
            </w:r>
          </w:p>
        </w:tc>
        <w:tc>
          <w:tcPr>
            <w:tcW w:w="769" w:type="dxa"/>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kern w:val="0"/>
                <w:sz w:val="24"/>
                <w:szCs w:val="24"/>
              </w:rPr>
            </w:pPr>
            <w:r>
              <w:rPr>
                <w:rFonts w:eastAsia="宋体"/>
                <w:kern w:val="0"/>
                <w:sz w:val="24"/>
                <w:szCs w:val="24"/>
              </w:rPr>
              <w:t>%</w:t>
            </w:r>
          </w:p>
        </w:tc>
        <w:tc>
          <w:tcPr>
            <w:tcW w:w="993" w:type="dxa"/>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sz w:val="24"/>
                <w:szCs w:val="24"/>
              </w:rPr>
            </w:pPr>
            <w:r>
              <w:rPr>
                <w:rFonts w:eastAsia="宋体"/>
                <w:sz w:val="24"/>
                <w:szCs w:val="24"/>
              </w:rPr>
              <w:t>0</w:t>
            </w:r>
          </w:p>
        </w:tc>
        <w:tc>
          <w:tcPr>
            <w:tcW w:w="1114" w:type="dxa"/>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kern w:val="0"/>
                <w:sz w:val="24"/>
                <w:szCs w:val="24"/>
              </w:rPr>
            </w:pPr>
            <w:r>
              <w:rPr>
                <w:rFonts w:eastAsia="宋体"/>
                <w:kern w:val="0"/>
                <w:sz w:val="24"/>
                <w:szCs w:val="24"/>
              </w:rPr>
              <w:t>0</w:t>
            </w:r>
          </w:p>
        </w:tc>
        <w:tc>
          <w:tcPr>
            <w:tcW w:w="1145" w:type="dxa"/>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kern w:val="0"/>
                <w:sz w:val="24"/>
                <w:szCs w:val="24"/>
              </w:rPr>
            </w:pPr>
            <w:r>
              <w:rPr>
                <w:rFonts w:eastAsia="宋体"/>
                <w:kern w:val="0"/>
                <w:sz w:val="24"/>
                <w:szCs w:val="24"/>
              </w:rPr>
              <w:t>预期性</w:t>
            </w:r>
          </w:p>
        </w:tc>
      </w:tr>
      <w:tr w:rsidTr="00312F60">
        <w:tblPrEx>
          <w:tblW w:w="8193" w:type="dxa"/>
          <w:jc w:val="center"/>
          <w:tblLayout w:type="fixed"/>
          <w:tblCellMar>
            <w:left w:w="0" w:type="dxa"/>
            <w:right w:w="0" w:type="dxa"/>
          </w:tblCellMar>
          <w:tblLook w:val="04A0"/>
        </w:tblPrEx>
        <w:trPr>
          <w:trHeight w:hRule="exact" w:val="1038"/>
          <w:jc w:val="center"/>
        </w:trPr>
        <w:tc>
          <w:tcPr>
            <w:tcW w:w="686" w:type="dxa"/>
            <w:vMerge w:val="restart"/>
            <w:tcBorders>
              <w:top w:val="single" w:sz="8" w:space="0" w:color="000000"/>
              <w:left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sz w:val="24"/>
                <w:szCs w:val="24"/>
              </w:rPr>
            </w:pPr>
            <w:r>
              <w:rPr>
                <w:rFonts w:eastAsia="宋体"/>
                <w:kern w:val="0"/>
                <w:sz w:val="24"/>
                <w:szCs w:val="24"/>
              </w:rPr>
              <w:t>生态系统</w:t>
            </w:r>
          </w:p>
        </w:tc>
        <w:tc>
          <w:tcPr>
            <w:tcW w:w="1407" w:type="dxa"/>
            <w:vMerge w:val="restart"/>
            <w:tcBorders>
              <w:top w:val="single" w:sz="8" w:space="0" w:color="000000"/>
              <w:left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left"/>
              <w:textAlignment w:val="center"/>
              <w:rPr>
                <w:rFonts w:eastAsia="宋体"/>
                <w:kern w:val="0"/>
                <w:sz w:val="24"/>
                <w:szCs w:val="24"/>
              </w:rPr>
            </w:pPr>
            <w:r>
              <w:rPr>
                <w:rFonts w:eastAsia="宋体"/>
                <w:kern w:val="0"/>
                <w:sz w:val="24"/>
                <w:szCs w:val="24"/>
              </w:rPr>
              <w:t>14.</w:t>
            </w:r>
            <w:r>
              <w:rPr>
                <w:rFonts w:eastAsia="宋体"/>
                <w:kern w:val="0"/>
                <w:sz w:val="24"/>
                <w:szCs w:val="24"/>
              </w:rPr>
              <w:t>生态管控区占陆域国土面积比例</w:t>
            </w:r>
          </w:p>
        </w:tc>
        <w:tc>
          <w:tcPr>
            <w:tcW w:w="2079" w:type="dxa"/>
            <w:tcBorders>
              <w:top w:val="single" w:sz="8" w:space="0" w:color="000000"/>
              <w:left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left"/>
              <w:textAlignment w:val="center"/>
              <w:rPr>
                <w:rFonts w:eastAsia="宋体"/>
                <w:kern w:val="0"/>
                <w:sz w:val="24"/>
                <w:szCs w:val="24"/>
              </w:rPr>
            </w:pPr>
            <w:r>
              <w:rPr>
                <w:rFonts w:eastAsia="宋体"/>
                <w:kern w:val="0"/>
                <w:sz w:val="24"/>
                <w:szCs w:val="24"/>
              </w:rPr>
              <w:t>国家生态红线区域保护面积占陆域国土面积比例</w:t>
            </w:r>
          </w:p>
        </w:tc>
        <w:tc>
          <w:tcPr>
            <w:tcW w:w="769" w:type="dxa"/>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sz w:val="24"/>
                <w:szCs w:val="24"/>
              </w:rPr>
            </w:pPr>
            <w:r>
              <w:rPr>
                <w:rFonts w:eastAsia="宋体"/>
                <w:kern w:val="0"/>
                <w:sz w:val="24"/>
                <w:szCs w:val="24"/>
              </w:rPr>
              <w:t>%</w:t>
            </w:r>
          </w:p>
        </w:tc>
        <w:tc>
          <w:tcPr>
            <w:tcW w:w="993" w:type="dxa"/>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RPr="00B94364" w:rsidP="00312F60">
            <w:pPr>
              <w:widowControl/>
              <w:spacing w:line="240" w:lineRule="auto"/>
              <w:jc w:val="center"/>
              <w:textAlignment w:val="center"/>
              <w:rPr>
                <w:rFonts w:eastAsia="宋体"/>
                <w:sz w:val="24"/>
                <w:szCs w:val="24"/>
              </w:rPr>
            </w:pPr>
            <w:r w:rsidRPr="00B94364">
              <w:rPr>
                <w:rFonts w:eastAsia="宋体"/>
                <w:sz w:val="24"/>
                <w:szCs w:val="24"/>
              </w:rPr>
              <w:t>1.52</w:t>
            </w:r>
          </w:p>
        </w:tc>
        <w:tc>
          <w:tcPr>
            <w:tcW w:w="1114" w:type="dxa"/>
            <w:vMerge w:val="restart"/>
            <w:tcBorders>
              <w:top w:val="single" w:sz="8" w:space="0" w:color="000000"/>
              <w:left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kern w:val="0"/>
                <w:sz w:val="24"/>
                <w:szCs w:val="24"/>
              </w:rPr>
            </w:pPr>
            <w:r>
              <w:rPr>
                <w:rFonts w:eastAsia="宋体"/>
                <w:kern w:val="0"/>
                <w:sz w:val="24"/>
                <w:szCs w:val="24"/>
              </w:rPr>
              <w:t>面积不减少，性质不改变，功能不降低</w:t>
            </w:r>
          </w:p>
        </w:tc>
        <w:tc>
          <w:tcPr>
            <w:tcW w:w="1145" w:type="dxa"/>
            <w:vMerge w:val="restart"/>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sz w:val="24"/>
                <w:szCs w:val="24"/>
              </w:rPr>
            </w:pPr>
            <w:r>
              <w:rPr>
                <w:rFonts w:eastAsia="宋体"/>
                <w:kern w:val="0"/>
                <w:sz w:val="24"/>
                <w:szCs w:val="24"/>
              </w:rPr>
              <w:t>约束性</w:t>
            </w:r>
          </w:p>
        </w:tc>
      </w:tr>
      <w:tr w:rsidTr="00312F60">
        <w:tblPrEx>
          <w:tblW w:w="8193" w:type="dxa"/>
          <w:jc w:val="center"/>
          <w:tblLayout w:type="fixed"/>
          <w:tblCellMar>
            <w:left w:w="0" w:type="dxa"/>
            <w:right w:w="0" w:type="dxa"/>
          </w:tblCellMar>
          <w:tblLook w:val="04A0"/>
        </w:tblPrEx>
        <w:trPr>
          <w:trHeight w:hRule="exact" w:val="622"/>
          <w:jc w:val="center"/>
        </w:trPr>
        <w:tc>
          <w:tcPr>
            <w:tcW w:w="686" w:type="dxa"/>
            <w:vMerge/>
            <w:tcBorders>
              <w:left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rPr>
                <w:rFonts w:eastAsia="宋体"/>
                <w:sz w:val="24"/>
                <w:szCs w:val="24"/>
              </w:rPr>
            </w:pPr>
          </w:p>
        </w:tc>
        <w:tc>
          <w:tcPr>
            <w:tcW w:w="1407" w:type="dxa"/>
            <w:vMerge/>
            <w:tcBorders>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left"/>
              <w:textAlignment w:val="center"/>
              <w:rPr>
                <w:rFonts w:eastAsia="宋体"/>
                <w:kern w:val="0"/>
                <w:sz w:val="24"/>
                <w:szCs w:val="24"/>
              </w:rPr>
            </w:pPr>
          </w:p>
        </w:tc>
        <w:tc>
          <w:tcPr>
            <w:tcW w:w="2079" w:type="dxa"/>
            <w:tcBorders>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left"/>
              <w:textAlignment w:val="center"/>
              <w:rPr>
                <w:rFonts w:eastAsia="宋体"/>
                <w:color w:val="000000"/>
                <w:kern w:val="0"/>
                <w:sz w:val="24"/>
                <w:szCs w:val="24"/>
              </w:rPr>
            </w:pPr>
            <w:r>
              <w:rPr>
                <w:rFonts w:eastAsia="宋体"/>
                <w:color w:val="000000"/>
                <w:kern w:val="0"/>
                <w:sz w:val="24"/>
                <w:szCs w:val="24"/>
              </w:rPr>
              <w:t>生态空间管控区占陆域国土面积比例</w:t>
            </w:r>
          </w:p>
        </w:tc>
        <w:tc>
          <w:tcPr>
            <w:tcW w:w="769" w:type="dxa"/>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color w:val="000000"/>
                <w:sz w:val="24"/>
                <w:szCs w:val="24"/>
              </w:rPr>
            </w:pPr>
            <w:r>
              <w:rPr>
                <w:rFonts w:eastAsia="宋体"/>
                <w:color w:val="000000"/>
                <w:kern w:val="0"/>
                <w:sz w:val="24"/>
                <w:szCs w:val="24"/>
              </w:rPr>
              <w:t>%</w:t>
            </w:r>
          </w:p>
        </w:tc>
        <w:tc>
          <w:tcPr>
            <w:tcW w:w="993" w:type="dxa"/>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RPr="00B94364" w:rsidP="00312F60">
            <w:pPr>
              <w:widowControl/>
              <w:spacing w:line="240" w:lineRule="auto"/>
              <w:jc w:val="center"/>
              <w:rPr>
                <w:rFonts w:eastAsia="宋体"/>
                <w:sz w:val="24"/>
                <w:szCs w:val="24"/>
              </w:rPr>
            </w:pPr>
            <w:r w:rsidRPr="00B94364">
              <w:rPr>
                <w:rFonts w:eastAsia="宋体"/>
                <w:sz w:val="24"/>
                <w:szCs w:val="24"/>
              </w:rPr>
              <w:t>16.63</w:t>
            </w:r>
          </w:p>
        </w:tc>
        <w:tc>
          <w:tcPr>
            <w:tcW w:w="1114" w:type="dxa"/>
            <w:vMerge/>
            <w:tcBorders>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rPr>
                <w:rFonts w:eastAsia="宋体"/>
                <w:color w:val="000000"/>
                <w:sz w:val="24"/>
                <w:szCs w:val="24"/>
              </w:rPr>
            </w:pPr>
          </w:p>
        </w:tc>
        <w:tc>
          <w:tcPr>
            <w:tcW w:w="1145" w:type="dxa"/>
            <w:vMerge/>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rPr>
                <w:rFonts w:eastAsia="宋体"/>
                <w:sz w:val="24"/>
                <w:szCs w:val="24"/>
              </w:rPr>
            </w:pPr>
          </w:p>
        </w:tc>
      </w:tr>
      <w:tr w:rsidTr="00312F60">
        <w:tblPrEx>
          <w:tblW w:w="8193" w:type="dxa"/>
          <w:jc w:val="center"/>
          <w:tblLayout w:type="fixed"/>
          <w:tblCellMar>
            <w:left w:w="0" w:type="dxa"/>
            <w:right w:w="0" w:type="dxa"/>
          </w:tblCellMar>
          <w:tblLook w:val="04A0"/>
        </w:tblPrEx>
        <w:trPr>
          <w:trHeight w:hRule="exact" w:val="397"/>
          <w:jc w:val="center"/>
        </w:trPr>
        <w:tc>
          <w:tcPr>
            <w:tcW w:w="686" w:type="dxa"/>
            <w:vMerge/>
            <w:tcBorders>
              <w:left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rPr>
                <w:rFonts w:eastAsia="宋体"/>
                <w:sz w:val="24"/>
                <w:szCs w:val="24"/>
              </w:rPr>
            </w:pPr>
          </w:p>
        </w:tc>
        <w:tc>
          <w:tcPr>
            <w:tcW w:w="3486" w:type="dxa"/>
            <w:gridSpan w:val="2"/>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left"/>
              <w:textAlignment w:val="center"/>
              <w:rPr>
                <w:rFonts w:eastAsia="宋体"/>
                <w:sz w:val="24"/>
                <w:szCs w:val="24"/>
              </w:rPr>
            </w:pPr>
            <w:r>
              <w:rPr>
                <w:rFonts w:eastAsia="宋体"/>
                <w:kern w:val="0"/>
                <w:sz w:val="24"/>
                <w:szCs w:val="24"/>
              </w:rPr>
              <w:t>15.</w:t>
            </w:r>
            <w:r>
              <w:rPr>
                <w:rFonts w:eastAsia="宋体"/>
                <w:kern w:val="0"/>
                <w:sz w:val="24"/>
                <w:szCs w:val="24"/>
              </w:rPr>
              <w:t>林木覆盖率</w:t>
            </w:r>
          </w:p>
        </w:tc>
        <w:tc>
          <w:tcPr>
            <w:tcW w:w="769" w:type="dxa"/>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sz w:val="24"/>
                <w:szCs w:val="24"/>
              </w:rPr>
            </w:pPr>
            <w:r>
              <w:rPr>
                <w:rFonts w:eastAsia="宋体"/>
                <w:kern w:val="0"/>
                <w:sz w:val="24"/>
                <w:szCs w:val="24"/>
              </w:rPr>
              <w:t>%</w:t>
            </w:r>
          </w:p>
        </w:tc>
        <w:tc>
          <w:tcPr>
            <w:tcW w:w="993" w:type="dxa"/>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sz w:val="24"/>
                <w:szCs w:val="24"/>
              </w:rPr>
            </w:pPr>
            <w:r>
              <w:rPr>
                <w:rFonts w:eastAsia="宋体"/>
                <w:sz w:val="24"/>
                <w:szCs w:val="24"/>
              </w:rPr>
              <w:t>18.60</w:t>
            </w:r>
          </w:p>
        </w:tc>
        <w:tc>
          <w:tcPr>
            <w:tcW w:w="1114" w:type="dxa"/>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sz w:val="24"/>
                <w:szCs w:val="24"/>
              </w:rPr>
            </w:pPr>
            <w:r>
              <w:rPr>
                <w:rFonts w:eastAsia="宋体" w:hint="eastAsia"/>
                <w:kern w:val="0"/>
                <w:sz w:val="24"/>
                <w:szCs w:val="24"/>
              </w:rPr>
              <w:t>不降低</w:t>
            </w:r>
          </w:p>
        </w:tc>
        <w:tc>
          <w:tcPr>
            <w:tcW w:w="1145" w:type="dxa"/>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sz w:val="24"/>
                <w:szCs w:val="24"/>
              </w:rPr>
            </w:pPr>
            <w:r>
              <w:rPr>
                <w:rFonts w:eastAsia="宋体"/>
                <w:kern w:val="0"/>
                <w:sz w:val="24"/>
                <w:szCs w:val="24"/>
              </w:rPr>
              <w:t>约束性</w:t>
            </w:r>
          </w:p>
        </w:tc>
      </w:tr>
      <w:tr w:rsidTr="00312F60">
        <w:tblPrEx>
          <w:tblW w:w="8193" w:type="dxa"/>
          <w:jc w:val="center"/>
          <w:tblLayout w:type="fixed"/>
          <w:tblCellMar>
            <w:left w:w="0" w:type="dxa"/>
            <w:right w:w="0" w:type="dxa"/>
          </w:tblCellMar>
          <w:tblLook w:val="04A0"/>
        </w:tblPrEx>
        <w:trPr>
          <w:trHeight w:hRule="exact" w:val="397"/>
          <w:jc w:val="center"/>
        </w:trPr>
        <w:tc>
          <w:tcPr>
            <w:tcW w:w="686" w:type="dxa"/>
            <w:vMerge/>
            <w:tcBorders>
              <w:left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rPr>
                <w:rFonts w:eastAsia="宋体"/>
                <w:sz w:val="24"/>
                <w:szCs w:val="24"/>
              </w:rPr>
            </w:pPr>
          </w:p>
        </w:tc>
        <w:tc>
          <w:tcPr>
            <w:tcW w:w="3486" w:type="dxa"/>
            <w:gridSpan w:val="2"/>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left"/>
              <w:textAlignment w:val="center"/>
              <w:rPr>
                <w:rFonts w:eastAsia="宋体"/>
                <w:sz w:val="24"/>
                <w:szCs w:val="24"/>
              </w:rPr>
            </w:pPr>
            <w:r>
              <w:rPr>
                <w:rFonts w:eastAsia="宋体"/>
                <w:kern w:val="0"/>
                <w:sz w:val="24"/>
                <w:szCs w:val="24"/>
              </w:rPr>
              <w:t>16.</w:t>
            </w:r>
            <w:r>
              <w:rPr>
                <w:rFonts w:eastAsia="宋体"/>
                <w:kern w:val="0"/>
                <w:sz w:val="24"/>
                <w:szCs w:val="24"/>
              </w:rPr>
              <w:t>自然湿地保护率</w:t>
            </w:r>
          </w:p>
        </w:tc>
        <w:tc>
          <w:tcPr>
            <w:tcW w:w="769" w:type="dxa"/>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sz w:val="24"/>
                <w:szCs w:val="24"/>
              </w:rPr>
            </w:pPr>
            <w:r>
              <w:rPr>
                <w:rFonts w:eastAsia="宋体"/>
                <w:kern w:val="0"/>
                <w:sz w:val="24"/>
                <w:szCs w:val="24"/>
              </w:rPr>
              <w:t>%</w:t>
            </w:r>
          </w:p>
        </w:tc>
        <w:tc>
          <w:tcPr>
            <w:tcW w:w="993" w:type="dxa"/>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sz w:val="24"/>
                <w:szCs w:val="24"/>
              </w:rPr>
            </w:pPr>
            <w:r>
              <w:rPr>
                <w:rFonts w:eastAsia="宋体"/>
                <w:sz w:val="24"/>
                <w:szCs w:val="24"/>
              </w:rPr>
              <w:t>72.4</w:t>
            </w:r>
          </w:p>
        </w:tc>
        <w:tc>
          <w:tcPr>
            <w:tcW w:w="1114" w:type="dxa"/>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sz w:val="24"/>
                <w:szCs w:val="24"/>
              </w:rPr>
            </w:pPr>
            <w:r>
              <w:rPr>
                <w:rFonts w:eastAsia="宋体" w:hint="eastAsia"/>
                <w:kern w:val="0"/>
                <w:sz w:val="24"/>
                <w:szCs w:val="24"/>
              </w:rPr>
              <w:t>不降低</w:t>
            </w:r>
          </w:p>
        </w:tc>
        <w:tc>
          <w:tcPr>
            <w:tcW w:w="1145" w:type="dxa"/>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sz w:val="24"/>
                <w:szCs w:val="24"/>
              </w:rPr>
            </w:pPr>
            <w:r>
              <w:rPr>
                <w:rFonts w:eastAsia="宋体"/>
                <w:kern w:val="0"/>
                <w:sz w:val="24"/>
                <w:szCs w:val="24"/>
              </w:rPr>
              <w:t>预期性</w:t>
            </w:r>
          </w:p>
        </w:tc>
      </w:tr>
      <w:tr w:rsidTr="00312F60">
        <w:tblPrEx>
          <w:tblW w:w="8193" w:type="dxa"/>
          <w:jc w:val="center"/>
          <w:tblLayout w:type="fixed"/>
          <w:tblCellMar>
            <w:left w:w="0" w:type="dxa"/>
            <w:right w:w="0" w:type="dxa"/>
          </w:tblCellMar>
          <w:tblLook w:val="04A0"/>
        </w:tblPrEx>
        <w:trPr>
          <w:trHeight w:hRule="exact" w:val="397"/>
          <w:jc w:val="center"/>
        </w:trPr>
        <w:tc>
          <w:tcPr>
            <w:tcW w:w="686" w:type="dxa"/>
            <w:vMerge/>
            <w:tcBorders>
              <w:left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rPr>
                <w:rFonts w:eastAsia="宋体"/>
                <w:sz w:val="24"/>
                <w:szCs w:val="24"/>
              </w:rPr>
            </w:pPr>
          </w:p>
        </w:tc>
        <w:tc>
          <w:tcPr>
            <w:tcW w:w="3486" w:type="dxa"/>
            <w:gridSpan w:val="2"/>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left"/>
              <w:textAlignment w:val="center"/>
              <w:rPr>
                <w:rFonts w:eastAsia="宋体"/>
                <w:kern w:val="0"/>
                <w:sz w:val="24"/>
                <w:szCs w:val="24"/>
              </w:rPr>
            </w:pPr>
            <w:r>
              <w:rPr>
                <w:rFonts w:eastAsia="宋体"/>
                <w:kern w:val="0"/>
                <w:sz w:val="24"/>
                <w:szCs w:val="24"/>
              </w:rPr>
              <w:t>17.</w:t>
            </w:r>
            <w:r>
              <w:rPr>
                <w:rFonts w:eastAsia="宋体"/>
                <w:kern w:val="0"/>
                <w:sz w:val="24"/>
                <w:szCs w:val="24"/>
              </w:rPr>
              <w:t>长江生态岸线比重</w:t>
            </w:r>
          </w:p>
        </w:tc>
        <w:tc>
          <w:tcPr>
            <w:tcW w:w="769" w:type="dxa"/>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kern w:val="0"/>
                <w:sz w:val="24"/>
                <w:szCs w:val="24"/>
              </w:rPr>
            </w:pPr>
            <w:r>
              <w:rPr>
                <w:rFonts w:eastAsia="宋体"/>
                <w:kern w:val="0"/>
                <w:sz w:val="24"/>
                <w:szCs w:val="24"/>
              </w:rPr>
              <w:t>%</w:t>
            </w:r>
          </w:p>
        </w:tc>
        <w:tc>
          <w:tcPr>
            <w:tcW w:w="993" w:type="dxa"/>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kern w:val="0"/>
                <w:sz w:val="24"/>
                <w:szCs w:val="24"/>
              </w:rPr>
            </w:pPr>
            <w:r>
              <w:rPr>
                <w:rFonts w:eastAsia="宋体"/>
                <w:kern w:val="0"/>
                <w:sz w:val="24"/>
                <w:szCs w:val="24"/>
              </w:rPr>
              <w:t>/</w:t>
            </w:r>
          </w:p>
        </w:tc>
        <w:tc>
          <w:tcPr>
            <w:tcW w:w="1114" w:type="dxa"/>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kern w:val="0"/>
                <w:sz w:val="24"/>
                <w:szCs w:val="24"/>
              </w:rPr>
            </w:pPr>
            <w:r>
              <w:rPr>
                <w:rFonts w:eastAsia="宋体"/>
                <w:kern w:val="0"/>
                <w:sz w:val="24"/>
                <w:szCs w:val="24"/>
              </w:rPr>
              <w:t>≥15</w:t>
            </w:r>
          </w:p>
        </w:tc>
        <w:tc>
          <w:tcPr>
            <w:tcW w:w="1145" w:type="dxa"/>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kern w:val="0"/>
                <w:sz w:val="24"/>
                <w:szCs w:val="24"/>
              </w:rPr>
            </w:pPr>
            <w:r>
              <w:rPr>
                <w:rFonts w:eastAsia="宋体" w:hint="eastAsia"/>
                <w:kern w:val="0"/>
                <w:sz w:val="24"/>
                <w:szCs w:val="24"/>
              </w:rPr>
              <w:t>预期</w:t>
            </w:r>
            <w:r>
              <w:rPr>
                <w:rFonts w:eastAsia="宋体"/>
                <w:kern w:val="0"/>
                <w:sz w:val="24"/>
                <w:szCs w:val="24"/>
              </w:rPr>
              <w:t>性</w:t>
            </w:r>
          </w:p>
        </w:tc>
      </w:tr>
      <w:tr w:rsidTr="00312F60">
        <w:tblPrEx>
          <w:tblW w:w="8193" w:type="dxa"/>
          <w:jc w:val="center"/>
          <w:tblLayout w:type="fixed"/>
          <w:tblCellMar>
            <w:left w:w="0" w:type="dxa"/>
            <w:right w:w="0" w:type="dxa"/>
          </w:tblCellMar>
          <w:tblLook w:val="04A0"/>
        </w:tblPrEx>
        <w:trPr>
          <w:trHeight w:hRule="exact" w:val="397"/>
          <w:jc w:val="center"/>
        </w:trPr>
        <w:tc>
          <w:tcPr>
            <w:tcW w:w="686" w:type="dxa"/>
            <w:vMerge/>
            <w:tcBorders>
              <w:left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rPr>
                <w:rFonts w:eastAsia="宋体"/>
                <w:sz w:val="24"/>
                <w:szCs w:val="24"/>
              </w:rPr>
            </w:pPr>
          </w:p>
        </w:tc>
        <w:tc>
          <w:tcPr>
            <w:tcW w:w="3486" w:type="dxa"/>
            <w:gridSpan w:val="2"/>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left"/>
              <w:textAlignment w:val="center"/>
              <w:rPr>
                <w:rFonts w:eastAsia="宋体"/>
                <w:kern w:val="0"/>
                <w:sz w:val="24"/>
                <w:szCs w:val="24"/>
              </w:rPr>
            </w:pPr>
            <w:r>
              <w:rPr>
                <w:rFonts w:eastAsia="宋体"/>
                <w:kern w:val="0"/>
                <w:sz w:val="24"/>
                <w:szCs w:val="24"/>
              </w:rPr>
              <w:t>18.</w:t>
            </w:r>
            <w:r>
              <w:rPr>
                <w:rFonts w:eastAsia="宋体"/>
                <w:kern w:val="0"/>
                <w:sz w:val="24"/>
                <w:szCs w:val="24"/>
              </w:rPr>
              <w:t>生态质量指数（新</w:t>
            </w:r>
            <w:r>
              <w:rPr>
                <w:rFonts w:eastAsia="宋体"/>
                <w:kern w:val="0"/>
                <w:sz w:val="24"/>
                <w:szCs w:val="24"/>
              </w:rPr>
              <w:t>EI</w:t>
            </w:r>
            <w:r>
              <w:rPr>
                <w:rFonts w:eastAsia="宋体"/>
                <w:kern w:val="0"/>
                <w:sz w:val="24"/>
                <w:szCs w:val="24"/>
              </w:rPr>
              <w:t>）</w:t>
            </w:r>
          </w:p>
        </w:tc>
        <w:tc>
          <w:tcPr>
            <w:tcW w:w="769" w:type="dxa"/>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kern w:val="0"/>
                <w:sz w:val="24"/>
                <w:szCs w:val="24"/>
              </w:rPr>
            </w:pPr>
            <w:r>
              <w:rPr>
                <w:rFonts w:eastAsia="宋体"/>
                <w:kern w:val="0"/>
                <w:sz w:val="24"/>
                <w:szCs w:val="24"/>
              </w:rPr>
              <w:t>/</w:t>
            </w:r>
          </w:p>
        </w:tc>
        <w:tc>
          <w:tcPr>
            <w:tcW w:w="993" w:type="dxa"/>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kern w:val="0"/>
                <w:sz w:val="24"/>
                <w:szCs w:val="24"/>
              </w:rPr>
            </w:pPr>
            <w:r>
              <w:rPr>
                <w:rFonts w:eastAsia="宋体"/>
                <w:kern w:val="0"/>
                <w:sz w:val="24"/>
                <w:szCs w:val="24"/>
              </w:rPr>
              <w:t>/</w:t>
            </w:r>
          </w:p>
        </w:tc>
        <w:tc>
          <w:tcPr>
            <w:tcW w:w="1114" w:type="dxa"/>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kern w:val="0"/>
                <w:sz w:val="24"/>
                <w:szCs w:val="24"/>
              </w:rPr>
            </w:pPr>
            <w:r>
              <w:rPr>
                <w:rFonts w:eastAsia="宋体"/>
                <w:kern w:val="0"/>
                <w:sz w:val="24"/>
                <w:szCs w:val="24"/>
              </w:rPr>
              <w:t>稳中向好</w:t>
            </w:r>
          </w:p>
        </w:tc>
        <w:tc>
          <w:tcPr>
            <w:tcW w:w="1145" w:type="dxa"/>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kern w:val="0"/>
                <w:sz w:val="24"/>
                <w:szCs w:val="24"/>
              </w:rPr>
            </w:pPr>
            <w:r>
              <w:rPr>
                <w:rFonts w:eastAsia="宋体"/>
                <w:kern w:val="0"/>
                <w:sz w:val="24"/>
                <w:szCs w:val="24"/>
              </w:rPr>
              <w:t>预期性</w:t>
            </w:r>
          </w:p>
        </w:tc>
      </w:tr>
      <w:tr w:rsidTr="00667F5E">
        <w:tblPrEx>
          <w:tblW w:w="8193" w:type="dxa"/>
          <w:jc w:val="center"/>
          <w:tblLayout w:type="fixed"/>
          <w:tblCellMar>
            <w:left w:w="0" w:type="dxa"/>
            <w:right w:w="0" w:type="dxa"/>
          </w:tblCellMar>
          <w:tblLook w:val="04A0"/>
        </w:tblPrEx>
        <w:trPr>
          <w:trHeight w:hRule="exact" w:val="776"/>
          <w:jc w:val="center"/>
        </w:trPr>
        <w:tc>
          <w:tcPr>
            <w:tcW w:w="686" w:type="dxa"/>
            <w:vMerge/>
            <w:tcBorders>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rPr>
                <w:rFonts w:eastAsia="宋体"/>
                <w:sz w:val="24"/>
                <w:szCs w:val="24"/>
              </w:rPr>
            </w:pPr>
          </w:p>
        </w:tc>
        <w:tc>
          <w:tcPr>
            <w:tcW w:w="3486" w:type="dxa"/>
            <w:gridSpan w:val="2"/>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left"/>
              <w:textAlignment w:val="center"/>
              <w:rPr>
                <w:rFonts w:eastAsia="宋体"/>
                <w:kern w:val="0"/>
                <w:sz w:val="24"/>
                <w:szCs w:val="24"/>
              </w:rPr>
            </w:pPr>
            <w:r>
              <w:rPr>
                <w:rFonts w:eastAsia="宋体" w:hint="eastAsia"/>
                <w:kern w:val="0"/>
                <w:sz w:val="24"/>
                <w:szCs w:val="24"/>
              </w:rPr>
              <w:t>1</w:t>
            </w:r>
            <w:r>
              <w:rPr>
                <w:rFonts w:eastAsia="宋体"/>
                <w:kern w:val="0"/>
                <w:sz w:val="24"/>
                <w:szCs w:val="24"/>
              </w:rPr>
              <w:t>9.</w:t>
            </w:r>
            <w:r w:rsidRPr="00DC5680">
              <w:rPr>
                <w:rFonts w:eastAsia="宋体" w:hint="eastAsia"/>
                <w:kern w:val="0"/>
                <w:sz w:val="24"/>
                <w:szCs w:val="24"/>
              </w:rPr>
              <w:t>重点生物物种种数保护率</w:t>
            </w:r>
          </w:p>
        </w:tc>
        <w:tc>
          <w:tcPr>
            <w:tcW w:w="769" w:type="dxa"/>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kern w:val="0"/>
                <w:sz w:val="24"/>
                <w:szCs w:val="24"/>
              </w:rPr>
            </w:pPr>
            <w:r w:rsidRPr="00CD1D05">
              <w:rPr>
                <w:rFonts w:eastAsia="宋体"/>
                <w:kern w:val="0"/>
                <w:sz w:val="24"/>
                <w:szCs w:val="24"/>
              </w:rPr>
              <w:t>%</w:t>
            </w:r>
          </w:p>
        </w:tc>
        <w:tc>
          <w:tcPr>
            <w:tcW w:w="993" w:type="dxa"/>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kern w:val="0"/>
                <w:sz w:val="24"/>
                <w:szCs w:val="24"/>
              </w:rPr>
            </w:pPr>
            <w:r w:rsidRPr="00CD1D05">
              <w:rPr>
                <w:rFonts w:eastAsia="宋体"/>
                <w:kern w:val="0"/>
                <w:sz w:val="24"/>
                <w:szCs w:val="24"/>
              </w:rPr>
              <w:t>/</w:t>
            </w:r>
          </w:p>
        </w:tc>
        <w:tc>
          <w:tcPr>
            <w:tcW w:w="1114" w:type="dxa"/>
            <w:tcBorders>
              <w:top w:val="single" w:sz="8" w:space="0" w:color="000000"/>
              <w:left w:val="single" w:sz="8" w:space="0" w:color="000000"/>
              <w:bottom w:val="single" w:sz="8" w:space="0" w:color="000000"/>
              <w:right w:val="single" w:sz="8" w:space="0" w:color="000000"/>
            </w:tcBorders>
            <w:tcMar>
              <w:top w:w="10" w:type="dxa"/>
              <w:left w:w="10" w:type="dxa"/>
              <w:right w:w="10" w:type="dxa"/>
            </w:tcMar>
          </w:tcPr>
          <w:p w:rsidR="00940BF8" w:rsidP="00312F60">
            <w:pPr>
              <w:widowControl/>
              <w:spacing w:line="240" w:lineRule="auto"/>
              <w:jc w:val="center"/>
              <w:textAlignment w:val="center"/>
              <w:rPr>
                <w:rFonts w:eastAsia="宋体"/>
                <w:kern w:val="0"/>
                <w:sz w:val="24"/>
                <w:szCs w:val="24"/>
              </w:rPr>
            </w:pPr>
            <w:r>
              <w:rPr>
                <w:rFonts w:eastAsia="宋体"/>
                <w:kern w:val="0"/>
                <w:sz w:val="24"/>
                <w:szCs w:val="24"/>
              </w:rPr>
              <w:t>达到上级下达要求</w:t>
            </w:r>
          </w:p>
        </w:tc>
        <w:tc>
          <w:tcPr>
            <w:tcW w:w="1145" w:type="dxa"/>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kern w:val="0"/>
                <w:sz w:val="24"/>
                <w:szCs w:val="24"/>
              </w:rPr>
            </w:pPr>
            <w:r>
              <w:rPr>
                <w:rFonts w:eastAsia="宋体"/>
                <w:kern w:val="0"/>
                <w:sz w:val="24"/>
                <w:szCs w:val="24"/>
              </w:rPr>
              <w:t>预期性</w:t>
            </w:r>
          </w:p>
        </w:tc>
      </w:tr>
      <w:tr w:rsidTr="00312F60">
        <w:tblPrEx>
          <w:tblW w:w="8193" w:type="dxa"/>
          <w:jc w:val="center"/>
          <w:tblLayout w:type="fixed"/>
          <w:tblCellMar>
            <w:left w:w="0" w:type="dxa"/>
            <w:right w:w="0" w:type="dxa"/>
          </w:tblCellMar>
          <w:tblLook w:val="04A0"/>
        </w:tblPrEx>
        <w:trPr>
          <w:trHeight w:hRule="exact" w:val="454"/>
          <w:jc w:val="center"/>
        </w:trPr>
        <w:tc>
          <w:tcPr>
            <w:tcW w:w="686" w:type="dxa"/>
            <w:vMerge w:val="restart"/>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sz w:val="24"/>
                <w:szCs w:val="24"/>
              </w:rPr>
            </w:pPr>
            <w:r>
              <w:rPr>
                <w:rFonts w:eastAsia="宋体"/>
                <w:sz w:val="24"/>
                <w:szCs w:val="24"/>
              </w:rPr>
              <w:t>治理能力</w:t>
            </w:r>
          </w:p>
        </w:tc>
        <w:tc>
          <w:tcPr>
            <w:tcW w:w="1407" w:type="dxa"/>
            <w:vMerge w:val="restart"/>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left"/>
              <w:textAlignment w:val="center"/>
              <w:rPr>
                <w:rFonts w:eastAsia="宋体"/>
                <w:kern w:val="0"/>
                <w:sz w:val="24"/>
                <w:szCs w:val="24"/>
              </w:rPr>
            </w:pPr>
            <w:r>
              <w:rPr>
                <w:rFonts w:eastAsia="宋体"/>
                <w:kern w:val="0"/>
                <w:sz w:val="24"/>
                <w:szCs w:val="24"/>
              </w:rPr>
              <w:t>20.</w:t>
            </w:r>
            <w:r>
              <w:rPr>
                <w:rFonts w:eastAsia="宋体"/>
                <w:kern w:val="0"/>
                <w:sz w:val="24"/>
                <w:szCs w:val="24"/>
              </w:rPr>
              <w:t>城镇生活污水处理率</w:t>
            </w:r>
          </w:p>
        </w:tc>
        <w:tc>
          <w:tcPr>
            <w:tcW w:w="2079" w:type="dxa"/>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left"/>
              <w:textAlignment w:val="center"/>
              <w:rPr>
                <w:rFonts w:eastAsia="宋体"/>
                <w:kern w:val="0"/>
                <w:sz w:val="24"/>
                <w:szCs w:val="24"/>
              </w:rPr>
            </w:pPr>
            <w:r>
              <w:rPr>
                <w:rFonts w:eastAsia="宋体"/>
                <w:kern w:val="0"/>
                <w:sz w:val="24"/>
                <w:szCs w:val="24"/>
              </w:rPr>
              <w:t>城市</w:t>
            </w:r>
          </w:p>
        </w:tc>
        <w:tc>
          <w:tcPr>
            <w:tcW w:w="769" w:type="dxa"/>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kern w:val="0"/>
                <w:sz w:val="24"/>
                <w:szCs w:val="24"/>
              </w:rPr>
            </w:pPr>
            <w:r>
              <w:rPr>
                <w:rFonts w:eastAsia="宋体"/>
                <w:kern w:val="0"/>
                <w:sz w:val="24"/>
                <w:szCs w:val="24"/>
              </w:rPr>
              <w:t>%</w:t>
            </w:r>
          </w:p>
        </w:tc>
        <w:tc>
          <w:tcPr>
            <w:tcW w:w="993" w:type="dxa"/>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kern w:val="0"/>
                <w:sz w:val="24"/>
                <w:szCs w:val="24"/>
              </w:rPr>
            </w:pPr>
            <w:r>
              <w:rPr>
                <w:rFonts w:eastAsia="宋体"/>
                <w:kern w:val="0"/>
                <w:sz w:val="24"/>
                <w:szCs w:val="24"/>
              </w:rPr>
              <w:t>99.7</w:t>
            </w:r>
          </w:p>
        </w:tc>
        <w:tc>
          <w:tcPr>
            <w:tcW w:w="1114" w:type="dxa"/>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kern w:val="0"/>
                <w:sz w:val="24"/>
                <w:szCs w:val="24"/>
              </w:rPr>
            </w:pPr>
            <w:r>
              <w:rPr>
                <w:rFonts w:eastAsia="宋体"/>
                <w:kern w:val="0"/>
                <w:sz w:val="24"/>
                <w:szCs w:val="24"/>
              </w:rPr>
              <w:t>稳中向好</w:t>
            </w:r>
          </w:p>
        </w:tc>
        <w:tc>
          <w:tcPr>
            <w:tcW w:w="1145" w:type="dxa"/>
            <w:vMerge w:val="restart"/>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kern w:val="0"/>
                <w:sz w:val="24"/>
                <w:szCs w:val="24"/>
              </w:rPr>
            </w:pPr>
            <w:r>
              <w:rPr>
                <w:rFonts w:eastAsia="宋体"/>
                <w:kern w:val="0"/>
                <w:sz w:val="24"/>
                <w:szCs w:val="24"/>
              </w:rPr>
              <w:t>预期性</w:t>
            </w:r>
          </w:p>
        </w:tc>
      </w:tr>
      <w:tr w:rsidTr="00312F60">
        <w:tblPrEx>
          <w:tblW w:w="8193" w:type="dxa"/>
          <w:jc w:val="center"/>
          <w:tblLayout w:type="fixed"/>
          <w:tblCellMar>
            <w:left w:w="0" w:type="dxa"/>
            <w:right w:w="0" w:type="dxa"/>
          </w:tblCellMar>
          <w:tblLook w:val="04A0"/>
        </w:tblPrEx>
        <w:trPr>
          <w:trHeight w:hRule="exact" w:val="638"/>
          <w:jc w:val="center"/>
        </w:trPr>
        <w:tc>
          <w:tcPr>
            <w:tcW w:w="686" w:type="dxa"/>
            <w:vMerge/>
            <w:tcBorders>
              <w:top w:val="single" w:sz="8" w:space="0" w:color="000000"/>
              <w:left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sz w:val="24"/>
                <w:szCs w:val="24"/>
              </w:rPr>
            </w:pPr>
          </w:p>
        </w:tc>
        <w:tc>
          <w:tcPr>
            <w:tcW w:w="1407" w:type="dxa"/>
            <w:vMerge/>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left"/>
              <w:textAlignment w:val="center"/>
              <w:rPr>
                <w:rFonts w:eastAsia="宋体"/>
                <w:kern w:val="0"/>
                <w:sz w:val="24"/>
                <w:szCs w:val="24"/>
              </w:rPr>
            </w:pPr>
          </w:p>
        </w:tc>
        <w:tc>
          <w:tcPr>
            <w:tcW w:w="2079" w:type="dxa"/>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left"/>
              <w:textAlignment w:val="center"/>
              <w:rPr>
                <w:rFonts w:eastAsia="宋体"/>
                <w:kern w:val="0"/>
                <w:sz w:val="24"/>
                <w:szCs w:val="24"/>
              </w:rPr>
            </w:pPr>
            <w:r>
              <w:rPr>
                <w:rFonts w:eastAsia="宋体"/>
                <w:kern w:val="0"/>
                <w:sz w:val="24"/>
                <w:szCs w:val="24"/>
              </w:rPr>
              <w:t>集镇区（含被撤并乡镇）</w:t>
            </w:r>
          </w:p>
        </w:tc>
        <w:tc>
          <w:tcPr>
            <w:tcW w:w="769" w:type="dxa"/>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kern w:val="0"/>
                <w:sz w:val="24"/>
                <w:szCs w:val="24"/>
              </w:rPr>
            </w:pPr>
            <w:r>
              <w:rPr>
                <w:rFonts w:eastAsia="宋体"/>
                <w:kern w:val="0"/>
                <w:sz w:val="24"/>
                <w:szCs w:val="24"/>
              </w:rPr>
              <w:t>%</w:t>
            </w:r>
          </w:p>
        </w:tc>
        <w:tc>
          <w:tcPr>
            <w:tcW w:w="993" w:type="dxa"/>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kern w:val="0"/>
                <w:sz w:val="24"/>
                <w:szCs w:val="24"/>
              </w:rPr>
            </w:pPr>
            <w:r>
              <w:rPr>
                <w:rFonts w:eastAsia="宋体"/>
                <w:kern w:val="0"/>
                <w:sz w:val="24"/>
                <w:szCs w:val="24"/>
              </w:rPr>
              <w:t>99.3</w:t>
            </w:r>
          </w:p>
        </w:tc>
        <w:tc>
          <w:tcPr>
            <w:tcW w:w="1114" w:type="dxa"/>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kern w:val="0"/>
                <w:sz w:val="24"/>
                <w:szCs w:val="24"/>
              </w:rPr>
            </w:pPr>
            <w:r>
              <w:rPr>
                <w:rFonts w:eastAsia="宋体"/>
                <w:kern w:val="0"/>
                <w:sz w:val="24"/>
                <w:szCs w:val="24"/>
              </w:rPr>
              <w:t>稳中向好</w:t>
            </w:r>
          </w:p>
        </w:tc>
        <w:tc>
          <w:tcPr>
            <w:tcW w:w="1145" w:type="dxa"/>
            <w:vMerge/>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kern w:val="0"/>
                <w:sz w:val="24"/>
                <w:szCs w:val="24"/>
              </w:rPr>
            </w:pPr>
          </w:p>
        </w:tc>
      </w:tr>
      <w:tr w:rsidTr="00312F60">
        <w:tblPrEx>
          <w:tblW w:w="8193" w:type="dxa"/>
          <w:jc w:val="center"/>
          <w:tblLayout w:type="fixed"/>
          <w:tblCellMar>
            <w:left w:w="0" w:type="dxa"/>
            <w:right w:w="0" w:type="dxa"/>
          </w:tblCellMar>
          <w:tblLook w:val="04A0"/>
        </w:tblPrEx>
        <w:trPr>
          <w:trHeight w:hRule="exact" w:val="454"/>
          <w:jc w:val="center"/>
        </w:trPr>
        <w:tc>
          <w:tcPr>
            <w:tcW w:w="686" w:type="dxa"/>
            <w:vMerge/>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rPr>
                <w:rFonts w:eastAsia="宋体"/>
                <w:sz w:val="24"/>
                <w:szCs w:val="24"/>
              </w:rPr>
            </w:pPr>
          </w:p>
        </w:tc>
        <w:tc>
          <w:tcPr>
            <w:tcW w:w="3486" w:type="dxa"/>
            <w:gridSpan w:val="2"/>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left"/>
              <w:textAlignment w:val="center"/>
              <w:rPr>
                <w:rFonts w:eastAsia="宋体"/>
                <w:kern w:val="0"/>
                <w:sz w:val="24"/>
                <w:szCs w:val="24"/>
              </w:rPr>
            </w:pPr>
            <w:r>
              <w:rPr>
                <w:rFonts w:eastAsia="宋体"/>
                <w:kern w:val="0"/>
                <w:sz w:val="24"/>
                <w:szCs w:val="24"/>
              </w:rPr>
              <w:t>21.</w:t>
            </w:r>
            <w:r>
              <w:rPr>
                <w:rFonts w:eastAsia="宋体"/>
                <w:kern w:val="0"/>
                <w:sz w:val="24"/>
                <w:szCs w:val="24"/>
              </w:rPr>
              <w:t>农村生活污水治理率</w:t>
            </w:r>
          </w:p>
        </w:tc>
        <w:tc>
          <w:tcPr>
            <w:tcW w:w="769" w:type="dxa"/>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kern w:val="0"/>
                <w:sz w:val="24"/>
                <w:szCs w:val="24"/>
              </w:rPr>
            </w:pPr>
            <w:r>
              <w:rPr>
                <w:rFonts w:eastAsia="宋体"/>
                <w:kern w:val="0"/>
                <w:sz w:val="24"/>
                <w:szCs w:val="24"/>
              </w:rPr>
              <w:t>%</w:t>
            </w:r>
          </w:p>
        </w:tc>
        <w:tc>
          <w:tcPr>
            <w:tcW w:w="993" w:type="dxa"/>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kern w:val="0"/>
                <w:sz w:val="24"/>
              </w:rPr>
            </w:pPr>
            <w:r>
              <w:rPr>
                <w:rFonts w:eastAsia="宋体" w:hint="eastAsia"/>
                <w:kern w:val="0"/>
                <w:sz w:val="24"/>
                <w:szCs w:val="24"/>
              </w:rPr>
              <w:t>90.4</w:t>
            </w:r>
          </w:p>
        </w:tc>
        <w:tc>
          <w:tcPr>
            <w:tcW w:w="1114" w:type="dxa"/>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kern w:val="0"/>
                <w:sz w:val="24"/>
                <w:szCs w:val="24"/>
              </w:rPr>
            </w:pPr>
            <w:r>
              <w:rPr>
                <w:rFonts w:eastAsia="宋体"/>
                <w:kern w:val="0"/>
                <w:sz w:val="24"/>
                <w:szCs w:val="24"/>
              </w:rPr>
              <w:t>稳中向好</w:t>
            </w:r>
          </w:p>
        </w:tc>
        <w:tc>
          <w:tcPr>
            <w:tcW w:w="1145" w:type="dxa"/>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kern w:val="0"/>
                <w:sz w:val="24"/>
                <w:szCs w:val="24"/>
              </w:rPr>
            </w:pPr>
            <w:r>
              <w:rPr>
                <w:rFonts w:eastAsia="宋体"/>
                <w:kern w:val="0"/>
                <w:sz w:val="24"/>
                <w:szCs w:val="24"/>
              </w:rPr>
              <w:t>约束性</w:t>
            </w:r>
          </w:p>
        </w:tc>
      </w:tr>
      <w:tr w:rsidTr="00312F60">
        <w:tblPrEx>
          <w:tblW w:w="8193" w:type="dxa"/>
          <w:jc w:val="center"/>
          <w:tblLayout w:type="fixed"/>
          <w:tblCellMar>
            <w:left w:w="0" w:type="dxa"/>
            <w:right w:w="0" w:type="dxa"/>
          </w:tblCellMar>
          <w:tblLook w:val="04A0"/>
        </w:tblPrEx>
        <w:trPr>
          <w:trHeight w:hRule="exact" w:val="454"/>
          <w:jc w:val="center"/>
        </w:trPr>
        <w:tc>
          <w:tcPr>
            <w:tcW w:w="686" w:type="dxa"/>
            <w:vMerge/>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rPr>
                <w:rFonts w:eastAsia="宋体"/>
                <w:sz w:val="24"/>
                <w:szCs w:val="24"/>
              </w:rPr>
            </w:pPr>
          </w:p>
        </w:tc>
        <w:tc>
          <w:tcPr>
            <w:tcW w:w="3486" w:type="dxa"/>
            <w:gridSpan w:val="2"/>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left"/>
              <w:textAlignment w:val="center"/>
              <w:rPr>
                <w:rFonts w:eastAsia="宋体"/>
                <w:kern w:val="0"/>
                <w:sz w:val="24"/>
                <w:szCs w:val="24"/>
              </w:rPr>
            </w:pPr>
            <w:r>
              <w:rPr>
                <w:rFonts w:eastAsia="宋体"/>
                <w:kern w:val="0"/>
                <w:sz w:val="24"/>
                <w:szCs w:val="24"/>
              </w:rPr>
              <w:t>22.</w:t>
            </w:r>
            <w:r>
              <w:rPr>
                <w:rFonts w:eastAsia="宋体"/>
                <w:kern w:val="0"/>
                <w:sz w:val="24"/>
                <w:szCs w:val="24"/>
              </w:rPr>
              <w:t>危险废物安全处置率</w:t>
            </w:r>
          </w:p>
        </w:tc>
        <w:tc>
          <w:tcPr>
            <w:tcW w:w="769" w:type="dxa"/>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sz w:val="24"/>
                <w:szCs w:val="24"/>
              </w:rPr>
            </w:pPr>
            <w:r>
              <w:rPr>
                <w:rFonts w:eastAsia="宋体"/>
                <w:kern w:val="0"/>
                <w:sz w:val="24"/>
                <w:szCs w:val="24"/>
              </w:rPr>
              <w:t>%</w:t>
            </w:r>
          </w:p>
        </w:tc>
        <w:tc>
          <w:tcPr>
            <w:tcW w:w="993" w:type="dxa"/>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sz w:val="24"/>
                <w:szCs w:val="24"/>
              </w:rPr>
            </w:pPr>
            <w:r>
              <w:rPr>
                <w:rFonts w:eastAsia="宋体"/>
                <w:sz w:val="24"/>
                <w:szCs w:val="24"/>
              </w:rPr>
              <w:t>100</w:t>
            </w:r>
          </w:p>
        </w:tc>
        <w:tc>
          <w:tcPr>
            <w:tcW w:w="1114" w:type="dxa"/>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rPr>
                <w:rFonts w:eastAsia="宋体"/>
                <w:sz w:val="24"/>
                <w:szCs w:val="24"/>
              </w:rPr>
            </w:pPr>
            <w:r>
              <w:rPr>
                <w:rFonts w:eastAsia="宋体"/>
                <w:sz w:val="24"/>
                <w:szCs w:val="24"/>
              </w:rPr>
              <w:t>100</w:t>
            </w:r>
          </w:p>
        </w:tc>
        <w:tc>
          <w:tcPr>
            <w:tcW w:w="1145" w:type="dxa"/>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sz w:val="24"/>
                <w:szCs w:val="24"/>
              </w:rPr>
            </w:pPr>
            <w:r>
              <w:rPr>
                <w:rFonts w:eastAsia="宋体"/>
                <w:kern w:val="0"/>
                <w:sz w:val="24"/>
                <w:szCs w:val="24"/>
              </w:rPr>
              <w:t>约束性</w:t>
            </w:r>
          </w:p>
        </w:tc>
      </w:tr>
      <w:tr w:rsidTr="00940BF8">
        <w:tblPrEx>
          <w:tblW w:w="8193" w:type="dxa"/>
          <w:jc w:val="center"/>
          <w:tblLayout w:type="fixed"/>
          <w:tblCellMar>
            <w:left w:w="0" w:type="dxa"/>
            <w:right w:w="0" w:type="dxa"/>
          </w:tblCellMar>
          <w:tblLook w:val="04A0"/>
        </w:tblPrEx>
        <w:trPr>
          <w:trHeight w:hRule="exact" w:val="916"/>
          <w:jc w:val="center"/>
        </w:trPr>
        <w:tc>
          <w:tcPr>
            <w:tcW w:w="686" w:type="dxa"/>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kern w:val="0"/>
                <w:sz w:val="24"/>
                <w:szCs w:val="24"/>
              </w:rPr>
            </w:pPr>
            <w:r>
              <w:rPr>
                <w:rFonts w:eastAsia="宋体"/>
                <w:kern w:val="0"/>
                <w:sz w:val="24"/>
                <w:szCs w:val="24"/>
              </w:rPr>
              <w:t>满</w:t>
            </w:r>
          </w:p>
          <w:p w:rsidR="00940BF8" w:rsidP="00312F60">
            <w:pPr>
              <w:widowControl/>
              <w:spacing w:line="240" w:lineRule="auto"/>
              <w:jc w:val="center"/>
              <w:textAlignment w:val="center"/>
              <w:rPr>
                <w:rFonts w:eastAsia="宋体"/>
                <w:kern w:val="0"/>
                <w:sz w:val="24"/>
                <w:szCs w:val="24"/>
              </w:rPr>
            </w:pPr>
            <w:r>
              <w:rPr>
                <w:rFonts w:eastAsia="宋体"/>
                <w:kern w:val="0"/>
                <w:sz w:val="24"/>
                <w:szCs w:val="24"/>
              </w:rPr>
              <w:t>意</w:t>
            </w:r>
          </w:p>
          <w:p w:rsidR="00940BF8" w:rsidP="00312F60">
            <w:pPr>
              <w:widowControl/>
              <w:spacing w:line="240" w:lineRule="auto"/>
              <w:jc w:val="center"/>
              <w:textAlignment w:val="center"/>
              <w:rPr>
                <w:rFonts w:eastAsia="宋体"/>
                <w:sz w:val="24"/>
                <w:szCs w:val="24"/>
              </w:rPr>
            </w:pPr>
            <w:r>
              <w:rPr>
                <w:rFonts w:eastAsia="宋体" w:hint="eastAsia"/>
                <w:kern w:val="0"/>
                <w:sz w:val="24"/>
                <w:szCs w:val="24"/>
              </w:rPr>
              <w:t>度</w:t>
            </w:r>
          </w:p>
        </w:tc>
        <w:tc>
          <w:tcPr>
            <w:tcW w:w="3486" w:type="dxa"/>
            <w:gridSpan w:val="2"/>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left"/>
              <w:textAlignment w:val="center"/>
              <w:rPr>
                <w:rFonts w:eastAsia="宋体"/>
                <w:sz w:val="24"/>
                <w:szCs w:val="24"/>
              </w:rPr>
            </w:pPr>
            <w:r>
              <w:rPr>
                <w:rFonts w:eastAsia="宋体"/>
                <w:kern w:val="0"/>
                <w:sz w:val="24"/>
                <w:szCs w:val="24"/>
              </w:rPr>
              <w:t>23.</w:t>
            </w:r>
            <w:r>
              <w:rPr>
                <w:rFonts w:eastAsia="宋体"/>
                <w:kern w:val="0"/>
                <w:sz w:val="24"/>
                <w:szCs w:val="24"/>
              </w:rPr>
              <w:t>公众对生态环境保护的满意率</w:t>
            </w:r>
          </w:p>
        </w:tc>
        <w:tc>
          <w:tcPr>
            <w:tcW w:w="769" w:type="dxa"/>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sz w:val="24"/>
                <w:szCs w:val="24"/>
              </w:rPr>
            </w:pPr>
            <w:r>
              <w:rPr>
                <w:rFonts w:eastAsia="宋体"/>
                <w:kern w:val="0"/>
                <w:sz w:val="24"/>
                <w:szCs w:val="24"/>
              </w:rPr>
              <w:t>%</w:t>
            </w:r>
          </w:p>
        </w:tc>
        <w:tc>
          <w:tcPr>
            <w:tcW w:w="993" w:type="dxa"/>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sz w:val="24"/>
                <w:szCs w:val="24"/>
              </w:rPr>
            </w:pPr>
            <w:r>
              <w:rPr>
                <w:rFonts w:eastAsia="宋体"/>
                <w:sz w:val="24"/>
                <w:szCs w:val="24"/>
              </w:rPr>
              <w:t>93.4</w:t>
            </w:r>
          </w:p>
        </w:tc>
        <w:tc>
          <w:tcPr>
            <w:tcW w:w="1114" w:type="dxa"/>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sz w:val="24"/>
                <w:szCs w:val="24"/>
              </w:rPr>
            </w:pPr>
            <w:r>
              <w:rPr>
                <w:rFonts w:eastAsia="宋体"/>
                <w:kern w:val="0"/>
                <w:sz w:val="24"/>
                <w:szCs w:val="24"/>
              </w:rPr>
              <w:t>95</w:t>
            </w:r>
          </w:p>
        </w:tc>
        <w:tc>
          <w:tcPr>
            <w:tcW w:w="1145" w:type="dxa"/>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rsidR="00940BF8" w:rsidP="00312F60">
            <w:pPr>
              <w:widowControl/>
              <w:spacing w:line="240" w:lineRule="auto"/>
              <w:jc w:val="center"/>
              <w:textAlignment w:val="center"/>
              <w:rPr>
                <w:rFonts w:eastAsia="宋体"/>
                <w:sz w:val="24"/>
                <w:szCs w:val="24"/>
              </w:rPr>
            </w:pPr>
            <w:r>
              <w:rPr>
                <w:rFonts w:eastAsia="宋体"/>
                <w:kern w:val="0"/>
                <w:sz w:val="24"/>
                <w:szCs w:val="24"/>
              </w:rPr>
              <w:t>预期性</w:t>
            </w:r>
          </w:p>
        </w:tc>
      </w:tr>
    </w:tbl>
    <w:p w:rsidR="00940BF8">
      <w:pPr>
        <w:adjustRightInd w:val="0"/>
        <w:snapToGrid w:val="0"/>
        <w:spacing w:line="240" w:lineRule="auto"/>
        <w:rPr>
          <w:rFonts w:ascii="Times New Roman Regular" w:hAnsi="Times New Roman Regular" w:cs="Times New Roman Regular"/>
          <w:sz w:val="21"/>
          <w:szCs w:val="21"/>
        </w:rPr>
      </w:pPr>
    </w:p>
    <w:p w:rsidR="00B373FD">
      <w:pPr>
        <w:adjustRightInd w:val="0"/>
        <w:snapToGrid w:val="0"/>
        <w:spacing w:line="240" w:lineRule="auto"/>
        <w:rPr>
          <w:rFonts w:ascii="Times New Roman Regular" w:hAnsi="Times New Roman Regular" w:cs="Times New Roman Regular"/>
          <w:sz w:val="21"/>
          <w:szCs w:val="21"/>
        </w:rPr>
      </w:pPr>
      <w:r>
        <w:rPr>
          <w:rFonts w:ascii="Times New Roman Regular" w:hAnsi="Times New Roman Regular" w:cs="Times New Roman Regular"/>
          <w:sz w:val="21"/>
          <w:szCs w:val="21"/>
        </w:rPr>
        <w:t>备注</w:t>
      </w:r>
      <w:r>
        <w:rPr>
          <w:rFonts w:ascii="Times New Roman Regular" w:hAnsi="Times New Roman Regular" w:cs="Times New Roman Regular"/>
          <w:sz w:val="21"/>
          <w:szCs w:val="21"/>
        </w:rPr>
        <w:t xml:space="preserve"> </w:t>
      </w:r>
      <w:r>
        <w:rPr>
          <w:rFonts w:ascii="Times New Roman Regular" w:hAnsi="Times New Roman Regular" w:cs="Times New Roman Regular" w:hint="eastAsia"/>
          <w:sz w:val="21"/>
          <w:szCs w:val="21"/>
        </w:rPr>
        <w:t>：</w:t>
      </w:r>
    </w:p>
    <w:p w:rsidR="00F351DC" w:rsidRPr="00F351DC" w:rsidP="00F351DC">
      <w:pPr>
        <w:adjustRightInd w:val="0"/>
        <w:snapToGrid w:val="0"/>
        <w:spacing w:line="240" w:lineRule="auto"/>
        <w:rPr>
          <w:rFonts w:ascii="Times New Roman Regular" w:hAnsi="Times New Roman Regular" w:cs="Times New Roman Regular"/>
          <w:sz w:val="21"/>
          <w:szCs w:val="21"/>
        </w:rPr>
      </w:pPr>
      <w:bookmarkStart w:id="49" w:name="_Toc77862704"/>
      <w:r>
        <w:rPr>
          <w:rFonts w:ascii="仿宋_GB2312" w:hAnsi="Times New Roman Regular" w:cs="Times New Roman Regular" w:hint="eastAsia"/>
          <w:sz w:val="21"/>
          <w:szCs w:val="21"/>
        </w:rPr>
        <w:t>①</w:t>
      </w:r>
      <w:r w:rsidRPr="00F351DC">
        <w:rPr>
          <w:rFonts w:ascii="Times New Roman Regular" w:hAnsi="Times New Roman Regular" w:cs="Times New Roman Regular" w:hint="eastAsia"/>
          <w:sz w:val="21"/>
          <w:szCs w:val="21"/>
        </w:rPr>
        <w:t>“十三五</w:t>
      </w:r>
      <w:r w:rsidRPr="00F351DC">
        <w:rPr>
          <w:rFonts w:ascii="Times New Roman Regular" w:hAnsi="Times New Roman Regular" w:cs="Times New Roman Regular"/>
          <w:sz w:val="21"/>
          <w:szCs w:val="21"/>
        </w:rPr>
        <w:t>”</w:t>
      </w:r>
      <w:r w:rsidRPr="00F351DC">
        <w:rPr>
          <w:rFonts w:ascii="Times New Roman Regular" w:hAnsi="Times New Roman Regular" w:cs="Times New Roman Regular" w:hint="eastAsia"/>
          <w:sz w:val="21"/>
          <w:szCs w:val="21"/>
        </w:rPr>
        <w:t>累计下降率；</w:t>
      </w:r>
    </w:p>
    <w:p w:rsidR="00F351DC" w:rsidP="00F351DC">
      <w:pPr>
        <w:adjustRightInd w:val="0"/>
        <w:snapToGrid w:val="0"/>
        <w:spacing w:line="240" w:lineRule="auto"/>
        <w:rPr>
          <w:rFonts w:ascii="Times New Roman Regular" w:hAnsi="Times New Roman Regular" w:cs="Times New Roman Regular"/>
          <w:sz w:val="21"/>
          <w:szCs w:val="21"/>
        </w:rPr>
      </w:pPr>
      <w:r w:rsidRPr="00F351DC">
        <w:rPr>
          <w:rFonts w:ascii="仿宋_GB2312" w:hAnsi="Times New Roman Regular" w:cs="Times New Roman Regular" w:hint="eastAsia"/>
          <w:sz w:val="21"/>
          <w:szCs w:val="21"/>
        </w:rPr>
        <w:t>②</w:t>
      </w:r>
      <w:r w:rsidRPr="00F351DC">
        <w:rPr>
          <w:rFonts w:ascii="Times New Roman Regular" w:hAnsi="Times New Roman Regular" w:cs="Times New Roman Regular" w:hint="eastAsia"/>
          <w:sz w:val="21"/>
          <w:szCs w:val="21"/>
        </w:rPr>
        <w:t>“十四五”期间</w:t>
      </w:r>
      <w:r w:rsidRPr="00F351DC">
        <w:rPr>
          <w:rFonts w:ascii="Times New Roman Regular" w:hAnsi="Times New Roman Regular" w:cs="Times New Roman Regular"/>
          <w:sz w:val="21"/>
          <w:szCs w:val="21"/>
        </w:rPr>
        <w:t>,</w:t>
      </w:r>
      <w:r w:rsidRPr="00F351DC">
        <w:rPr>
          <w:rFonts w:ascii="Times New Roman Regular" w:hAnsi="Times New Roman Regular" w:cs="Times New Roman Regular" w:hint="eastAsia"/>
          <w:sz w:val="21"/>
          <w:szCs w:val="21"/>
        </w:rPr>
        <w:t>太仓市地表水国考断面从</w:t>
      </w:r>
      <w:r w:rsidRPr="00F351DC">
        <w:rPr>
          <w:rFonts w:ascii="Times New Roman Regular" w:hAnsi="Times New Roman Regular" w:cs="Times New Roman Regular"/>
          <w:sz w:val="21"/>
          <w:szCs w:val="21"/>
        </w:rPr>
        <w:t>2</w:t>
      </w:r>
      <w:r w:rsidRPr="00F351DC">
        <w:rPr>
          <w:rFonts w:ascii="Times New Roman Regular" w:hAnsi="Times New Roman Regular" w:cs="Times New Roman Regular" w:hint="eastAsia"/>
          <w:sz w:val="21"/>
          <w:szCs w:val="21"/>
        </w:rPr>
        <w:t>个增加至</w:t>
      </w:r>
      <w:r w:rsidRPr="00F351DC">
        <w:rPr>
          <w:rFonts w:ascii="Times New Roman Regular" w:hAnsi="Times New Roman Regular" w:cs="Times New Roman Regular"/>
          <w:sz w:val="21"/>
          <w:szCs w:val="21"/>
        </w:rPr>
        <w:t>4</w:t>
      </w:r>
      <w:r w:rsidRPr="00F351DC">
        <w:rPr>
          <w:rFonts w:ascii="Times New Roman Regular" w:hAnsi="Times New Roman Regular" w:cs="Times New Roman Regular" w:hint="eastAsia"/>
          <w:sz w:val="21"/>
          <w:szCs w:val="21"/>
        </w:rPr>
        <w:t>个</w:t>
      </w:r>
      <w:r w:rsidRPr="00F351DC">
        <w:rPr>
          <w:rFonts w:ascii="Times New Roman Regular" w:hAnsi="Times New Roman Regular" w:cs="Times New Roman Regular"/>
          <w:sz w:val="21"/>
          <w:szCs w:val="21"/>
        </w:rPr>
        <w:t>,</w:t>
      </w:r>
      <w:r w:rsidRPr="00F351DC">
        <w:rPr>
          <w:rFonts w:ascii="Times New Roman Regular" w:hAnsi="Times New Roman Regular" w:cs="Times New Roman Regular" w:hint="eastAsia"/>
          <w:sz w:val="21"/>
          <w:szCs w:val="21"/>
        </w:rPr>
        <w:t>省考断面（包含国考）从</w:t>
      </w:r>
      <w:r w:rsidRPr="00F351DC">
        <w:rPr>
          <w:rFonts w:ascii="Times New Roman Regular" w:hAnsi="Times New Roman Regular" w:cs="Times New Roman Regular"/>
          <w:sz w:val="21"/>
          <w:szCs w:val="21"/>
        </w:rPr>
        <w:t>6</w:t>
      </w:r>
      <w:r w:rsidRPr="00F351DC">
        <w:rPr>
          <w:rFonts w:ascii="Times New Roman Regular" w:hAnsi="Times New Roman Regular" w:cs="Times New Roman Regular" w:hint="eastAsia"/>
          <w:sz w:val="21"/>
          <w:szCs w:val="21"/>
        </w:rPr>
        <w:t>个增加至</w:t>
      </w:r>
      <w:r w:rsidRPr="00F351DC">
        <w:rPr>
          <w:rFonts w:ascii="Times New Roman Regular" w:hAnsi="Times New Roman Regular" w:cs="Times New Roman Regular"/>
          <w:sz w:val="21"/>
          <w:szCs w:val="21"/>
        </w:rPr>
        <w:t>12</w:t>
      </w:r>
      <w:r w:rsidRPr="00F351DC">
        <w:rPr>
          <w:rFonts w:ascii="Times New Roman Regular" w:hAnsi="Times New Roman Regular" w:cs="Times New Roman Regular" w:hint="eastAsia"/>
          <w:sz w:val="21"/>
          <w:szCs w:val="21"/>
        </w:rPr>
        <w:t>个</w:t>
      </w:r>
      <w:r>
        <w:rPr>
          <w:rFonts w:ascii="Times New Roman Regular" w:hAnsi="Times New Roman Regular" w:cs="Times New Roman Regular" w:hint="eastAsia"/>
          <w:sz w:val="21"/>
          <w:szCs w:val="21"/>
        </w:rPr>
        <w:t>；</w:t>
      </w:r>
    </w:p>
    <w:p w:rsidR="00F351DC" w:rsidRPr="00F351DC" w:rsidP="00F351DC">
      <w:pPr>
        <w:adjustRightInd w:val="0"/>
        <w:snapToGrid w:val="0"/>
        <w:spacing w:line="240" w:lineRule="auto"/>
        <w:rPr>
          <w:rFonts w:ascii="Times New Roman Regular" w:hAnsi="Times New Roman Regular" w:cs="Times New Roman Regular"/>
          <w:sz w:val="21"/>
          <w:szCs w:val="21"/>
        </w:rPr>
      </w:pPr>
      <w:r>
        <w:rPr>
          <w:rFonts w:ascii="宋体" w:eastAsia="宋体" w:hAnsi="宋体" w:cs="Times New Roman Regular" w:hint="eastAsia"/>
          <w:sz w:val="21"/>
          <w:szCs w:val="21"/>
        </w:rPr>
        <w:t>③</w:t>
      </w:r>
      <w:r w:rsidRPr="00F351DC">
        <w:rPr>
          <w:rFonts w:ascii="Times New Roman Regular" w:hAnsi="Times New Roman Regular" w:cs="Times New Roman Regular"/>
          <w:sz w:val="21"/>
          <w:szCs w:val="21"/>
        </w:rPr>
        <w:t>2019</w:t>
      </w:r>
      <w:r w:rsidRPr="00F351DC">
        <w:rPr>
          <w:rFonts w:ascii="Times New Roman Regular" w:hAnsi="Times New Roman Regular" w:cs="Times New Roman Regular" w:hint="eastAsia"/>
          <w:sz w:val="21"/>
          <w:szCs w:val="21"/>
        </w:rPr>
        <w:t>年统计数据；</w:t>
      </w:r>
    </w:p>
    <w:p w:rsidR="00F351DC" w:rsidP="00F351DC">
      <w:pPr>
        <w:adjustRightInd w:val="0"/>
        <w:snapToGrid w:val="0"/>
        <w:spacing w:line="240" w:lineRule="auto"/>
        <w:rPr>
          <w:rFonts w:ascii="Times New Roman Regular" w:hAnsi="Times New Roman Regular" w:cs="Times New Roman Regular"/>
          <w:sz w:val="21"/>
          <w:szCs w:val="21"/>
        </w:rPr>
      </w:pPr>
      <w:r w:rsidRPr="00F351DC">
        <w:rPr>
          <w:rFonts w:ascii="仿宋_GB2312" w:hAnsi="Times New Roman Regular" w:cs="Times New Roman Regular" w:hint="eastAsia"/>
          <w:sz w:val="21"/>
          <w:szCs w:val="21"/>
        </w:rPr>
        <w:t>④</w:t>
      </w:r>
      <w:r w:rsidRPr="00F351DC">
        <w:rPr>
          <w:rFonts w:ascii="Times New Roman Regular" w:hAnsi="Times New Roman Regular" w:cs="Times New Roman Regular" w:hint="eastAsia"/>
          <w:sz w:val="21"/>
          <w:szCs w:val="21"/>
        </w:rPr>
        <w:t>地下水国、省考点位。</w:t>
      </w:r>
    </w:p>
    <w:p w:rsidR="008E1AA4" w:rsidP="008E1AA4">
      <w:pPr>
        <w:pStyle w:val="NoteHeading"/>
      </w:pPr>
    </w:p>
    <w:p w:rsidR="008E1AA4" w:rsidP="008E1AA4"/>
    <w:p w:rsidR="00940BF8" w:rsidP="00940BF8">
      <w:pPr>
        <w:pStyle w:val="NoteHeading"/>
      </w:pPr>
    </w:p>
    <w:p w:rsidR="00940BF8" w:rsidP="00940BF8"/>
    <w:p w:rsidR="00940BF8" w:rsidP="00940BF8">
      <w:pPr>
        <w:pStyle w:val="NoteHeading"/>
      </w:pPr>
    </w:p>
    <w:p w:rsidR="00940BF8" w:rsidP="00940BF8"/>
    <w:p w:rsidR="00940BF8" w:rsidP="00940BF8">
      <w:pPr>
        <w:pStyle w:val="NoteHeading"/>
      </w:pPr>
    </w:p>
    <w:p w:rsidR="00940BF8" w:rsidP="00940BF8"/>
    <w:p w:rsidR="00940BF8" w:rsidP="00940BF8">
      <w:pPr>
        <w:pStyle w:val="NoteHeading"/>
      </w:pPr>
    </w:p>
    <w:p w:rsidR="00940BF8" w:rsidP="00940BF8"/>
    <w:p w:rsidR="00940BF8" w:rsidP="00940BF8">
      <w:pPr>
        <w:pStyle w:val="NoteHeading"/>
      </w:pPr>
    </w:p>
    <w:p w:rsidR="00940BF8" w:rsidP="00940BF8"/>
    <w:p w:rsidR="00940BF8" w:rsidP="00940BF8">
      <w:pPr>
        <w:pStyle w:val="NoteHeading"/>
      </w:pPr>
    </w:p>
    <w:p w:rsidR="00940BF8" w:rsidP="00940BF8"/>
    <w:p w:rsidR="00940BF8" w:rsidP="00940BF8">
      <w:pPr>
        <w:pStyle w:val="NoteHeading"/>
      </w:pPr>
    </w:p>
    <w:p w:rsidR="00940BF8" w:rsidP="00940BF8"/>
    <w:p w:rsidR="00940BF8" w:rsidP="00940BF8">
      <w:pPr>
        <w:pStyle w:val="NoteHeading"/>
      </w:pPr>
    </w:p>
    <w:p w:rsidR="00940BF8" w:rsidP="00940BF8"/>
    <w:p w:rsidR="00940BF8" w:rsidP="00940BF8">
      <w:pPr>
        <w:pStyle w:val="NoteHeading"/>
      </w:pPr>
    </w:p>
    <w:p w:rsidR="00940BF8" w:rsidP="00940BF8"/>
    <w:p w:rsidR="00940BF8" w:rsidRPr="00940BF8" w:rsidP="00940BF8">
      <w:pPr>
        <w:pStyle w:val="NoteHeading"/>
      </w:pPr>
    </w:p>
    <w:p w:rsidR="00F351DC" w:rsidP="00F351DC">
      <w:pPr>
        <w:adjustRightInd w:val="0"/>
        <w:snapToGrid w:val="0"/>
        <w:spacing w:line="240" w:lineRule="auto"/>
        <w:rPr>
          <w:rFonts w:ascii="Times New Roman Regular" w:hAnsi="Times New Roman Regular" w:cs="Times New Roman Regular"/>
          <w:sz w:val="21"/>
          <w:szCs w:val="21"/>
        </w:rPr>
      </w:pPr>
    </w:p>
    <w:p w:rsidR="00B373FD">
      <w:pPr>
        <w:pStyle w:val="Heading1"/>
        <w:numPr>
          <w:ilvl w:val="0"/>
          <w:numId w:val="4"/>
        </w:numPr>
        <w:spacing w:before="156" w:after="156"/>
        <w:rPr>
          <w:rFonts w:ascii="Times New Roman Regular" w:hAnsi="Times New Roman Regular" w:cs="Times New Roman Regular"/>
        </w:rPr>
      </w:pPr>
      <w:r>
        <w:rPr>
          <w:rFonts w:ascii="Times New Roman Regular" w:hAnsi="Times New Roman Regular" w:cs="Times New Roman Regular"/>
        </w:rPr>
        <w:t>主要任务</w:t>
      </w:r>
      <w:bookmarkEnd w:id="49"/>
    </w:p>
    <w:p w:rsidR="00B373FD">
      <w:pPr>
        <w:pStyle w:val="Heading2"/>
        <w:numPr>
          <w:ilvl w:val="1"/>
          <w:numId w:val="4"/>
        </w:numPr>
        <w:spacing w:before="156" w:after="156"/>
        <w:rPr>
          <w:rFonts w:ascii="Times New Roman Regular" w:hAnsi="Times New Roman Regular" w:cs="Times New Roman Regular"/>
        </w:rPr>
      </w:pPr>
      <w:bookmarkStart w:id="50" w:name="_Toc77862705"/>
      <w:r>
        <w:rPr>
          <w:rFonts w:ascii="Times New Roman Regular" w:hAnsi="Times New Roman Regular" w:cs="Times New Roman Regular"/>
        </w:rPr>
        <w:t>深入实施</w:t>
      </w:r>
      <w:r w:rsidR="0015113F">
        <w:rPr>
          <w:rFonts w:ascii="Times New Roman Regular" w:hAnsi="Times New Roman Regular" w:cs="Times New Roman Regular" w:hint="eastAsia"/>
        </w:rPr>
        <w:t>长江</w:t>
      </w:r>
      <w:r w:rsidR="0015113F">
        <w:rPr>
          <w:rFonts w:ascii="Times New Roman Regular" w:hAnsi="Times New Roman Regular" w:cs="Times New Roman Regular"/>
        </w:rPr>
        <w:t>大保护</w:t>
      </w:r>
      <w:r>
        <w:rPr>
          <w:rFonts w:ascii="Times New Roman Regular" w:hAnsi="Times New Roman Regular" w:cs="Times New Roman Regular"/>
        </w:rPr>
        <w:t xml:space="preserve"> </w:t>
      </w:r>
      <w:r w:rsidR="0015113F">
        <w:rPr>
          <w:rFonts w:ascii="Times New Roman Regular" w:hAnsi="Times New Roman Regular" w:cs="Times New Roman Regular"/>
        </w:rPr>
        <w:t>推进美丽长江岸线建设</w:t>
      </w:r>
      <w:bookmarkEnd w:id="50"/>
    </w:p>
    <w:p w:rsidR="00B373FD">
      <w:pPr>
        <w:pStyle w:val="Heading3"/>
        <w:numPr>
          <w:ilvl w:val="2"/>
          <w:numId w:val="4"/>
        </w:numPr>
        <w:rPr>
          <w:rFonts w:ascii="Times New Roman Regular" w:hAnsi="Times New Roman Regular" w:cs="Times New Roman Regular"/>
        </w:rPr>
      </w:pPr>
      <w:r>
        <w:rPr>
          <w:rFonts w:ascii="Times New Roman Regular" w:hAnsi="Times New Roman Regular" w:cs="Times New Roman Regular"/>
        </w:rPr>
        <w:t>严格长江经济带产业准入</w:t>
      </w:r>
    </w:p>
    <w:p w:rsidR="00B373FD">
      <w:pPr>
        <w:ind w:firstLine="640" w:firstLineChars="200"/>
        <w:rPr>
          <w:rFonts w:ascii="Times New Roman Regular" w:hAnsi="Times New Roman Regular" w:cs="Times New Roman Regular"/>
        </w:rPr>
      </w:pPr>
      <w:r>
        <w:rPr>
          <w:rFonts w:ascii="Times New Roman Regular" w:hAnsi="Times New Roman Regular" w:cs="Times New Roman Regular"/>
          <w:color w:val="000000"/>
          <w:szCs w:val="32"/>
        </w:rPr>
        <w:t>严格落实</w:t>
      </w:r>
      <w:r>
        <w:rPr>
          <w:rFonts w:ascii="Times New Roman Regular" w:hAnsi="Times New Roman Regular" w:cs="Times New Roman Regular"/>
          <w:color w:val="000000"/>
          <w:szCs w:val="32"/>
        </w:rPr>
        <w:t>“</w:t>
      </w:r>
      <w:r>
        <w:rPr>
          <w:rFonts w:ascii="Times New Roman Regular" w:hAnsi="Times New Roman Regular" w:cs="Times New Roman Regular"/>
          <w:color w:val="000000"/>
          <w:szCs w:val="32"/>
        </w:rPr>
        <w:t>三线一单</w:t>
      </w:r>
      <w:r>
        <w:rPr>
          <w:rFonts w:ascii="Times New Roman Regular" w:hAnsi="Times New Roman Regular" w:cs="Times New Roman Regular"/>
          <w:color w:val="000000"/>
          <w:szCs w:val="32"/>
        </w:rPr>
        <w:t>”</w:t>
      </w:r>
      <w:r>
        <w:rPr>
          <w:rFonts w:ascii="Times New Roman Regular" w:hAnsi="Times New Roman Regular" w:cs="Times New Roman Regular"/>
          <w:color w:val="000000"/>
          <w:szCs w:val="32"/>
        </w:rPr>
        <w:t>生态环境分区管控要求，将</w:t>
      </w:r>
      <w:r>
        <w:rPr>
          <w:rFonts w:ascii="Times New Roman Regular" w:hAnsi="Times New Roman Regular" w:cs="Times New Roman Regular"/>
          <w:color w:val="000000"/>
          <w:szCs w:val="32"/>
        </w:rPr>
        <w:t>“</w:t>
      </w:r>
      <w:r>
        <w:rPr>
          <w:rFonts w:ascii="Times New Roman Regular" w:hAnsi="Times New Roman Regular" w:cs="Times New Roman Regular"/>
          <w:color w:val="000000"/>
          <w:szCs w:val="32"/>
        </w:rPr>
        <w:t>三线一单</w:t>
      </w:r>
      <w:r>
        <w:rPr>
          <w:rFonts w:ascii="Times New Roman Regular" w:hAnsi="Times New Roman Regular" w:cs="Times New Roman Regular"/>
          <w:color w:val="000000"/>
          <w:szCs w:val="32"/>
        </w:rPr>
        <w:t>”</w:t>
      </w:r>
      <w:r>
        <w:rPr>
          <w:rFonts w:ascii="Times New Roman Regular" w:hAnsi="Times New Roman Regular" w:cs="Times New Roman Regular"/>
          <w:color w:val="000000"/>
          <w:szCs w:val="32"/>
        </w:rPr>
        <w:t>作为政策制定、环境准入、园区管理、执法监管的重要依据。</w:t>
      </w:r>
      <w:r>
        <w:rPr>
          <w:rFonts w:ascii="Times New Roman Regular" w:hAnsi="Times New Roman Regular" w:cs="Times New Roman Regular"/>
          <w:szCs w:val="32"/>
        </w:rPr>
        <w:t>贯彻落实长江经济带发展负面清单，严格沿江化工产业准入，从安全、环保、技术、投资和用地等方面提高门槛，高标准发展市场前景好、工艺技术水平高、安全环保先进、产业带动力强的化工项目，对于列入淘汰和禁止目录的产品、技术、工艺和装备，严格予以淘汰。严禁在长江干流及主要支流岸线</w:t>
      </w:r>
      <w:r>
        <w:rPr>
          <w:rFonts w:ascii="Times New Roman Regular" w:hAnsi="Times New Roman Regular" w:cs="Times New Roman Regular"/>
          <w:szCs w:val="32"/>
        </w:rPr>
        <w:t>1</w:t>
      </w:r>
      <w:r>
        <w:rPr>
          <w:rFonts w:ascii="Times New Roman Regular" w:hAnsi="Times New Roman Regular" w:cs="Times New Roman Regular"/>
          <w:szCs w:val="32"/>
        </w:rPr>
        <w:t>公里范围内新建、扩建化工园区和化工项目，依法淘汰取缔违法违规工业园区。严格执行化工、印染、造纸等项目准入政策，加快破解</w:t>
      </w:r>
      <w:r>
        <w:rPr>
          <w:rFonts w:ascii="Times New Roman Regular" w:hAnsi="Times New Roman Regular" w:cs="Times New Roman Regular"/>
          <w:szCs w:val="32"/>
        </w:rPr>
        <w:t>“</w:t>
      </w:r>
      <w:r>
        <w:rPr>
          <w:rFonts w:ascii="Times New Roman Regular" w:hAnsi="Times New Roman Regular" w:cs="Times New Roman Regular"/>
          <w:szCs w:val="32"/>
        </w:rPr>
        <w:t>重化围江</w:t>
      </w:r>
      <w:r>
        <w:rPr>
          <w:rFonts w:ascii="Times New Roman Regular" w:hAnsi="Times New Roman Regular" w:cs="Times New Roman Regular"/>
          <w:szCs w:val="32"/>
        </w:rPr>
        <w:t>”</w:t>
      </w:r>
      <w:r>
        <w:rPr>
          <w:rFonts w:ascii="Times New Roman Regular" w:hAnsi="Times New Roman Regular" w:cs="Times New Roman Regular"/>
          <w:szCs w:val="32"/>
        </w:rPr>
        <w:t>难题。</w:t>
      </w:r>
    </w:p>
    <w:p w:rsidR="00B373FD">
      <w:pPr>
        <w:pStyle w:val="Heading3"/>
        <w:numPr>
          <w:ilvl w:val="2"/>
          <w:numId w:val="4"/>
        </w:numPr>
        <w:rPr>
          <w:rFonts w:ascii="Times New Roman Regular" w:hAnsi="Times New Roman Regular" w:cs="Times New Roman Regular"/>
        </w:rPr>
      </w:pPr>
      <w:r>
        <w:rPr>
          <w:rFonts w:ascii="Times New Roman Regular" w:hAnsi="Times New Roman Regular" w:cs="Times New Roman Regular"/>
        </w:rPr>
        <w:t>深入开展长江岸线保护修复</w:t>
      </w:r>
    </w:p>
    <w:p w:rsidR="00B373FD">
      <w:pPr>
        <w:adjustRightInd w:val="0"/>
        <w:snapToGrid w:val="0"/>
        <w:ind w:firstLine="640" w:firstLineChars="200"/>
        <w:rPr>
          <w:rFonts w:ascii="Times New Roman Regular" w:hAnsi="Times New Roman Regular" w:cs="Times New Roman Regular"/>
          <w:color w:val="000000"/>
          <w:szCs w:val="32"/>
        </w:rPr>
      </w:pPr>
      <w:r>
        <w:rPr>
          <w:rFonts w:ascii="Times New Roman Regular" w:hAnsi="Times New Roman Regular" w:cs="Times New Roman Regular"/>
          <w:color w:val="000000"/>
          <w:szCs w:val="32"/>
        </w:rPr>
        <w:t>贯彻</w:t>
      </w:r>
      <w:r>
        <w:rPr>
          <w:rFonts w:ascii="Times New Roman Regular" w:hAnsi="Times New Roman Regular" w:cs="Times New Roman Regular"/>
          <w:color w:val="000000"/>
          <w:szCs w:val="32"/>
        </w:rPr>
        <w:t>“</w:t>
      </w:r>
      <w:r>
        <w:rPr>
          <w:rFonts w:ascii="Times New Roman Regular" w:hAnsi="Times New Roman Regular" w:cs="Times New Roman Regular"/>
          <w:color w:val="000000"/>
          <w:szCs w:val="32"/>
        </w:rPr>
        <w:t>长江大保护</w:t>
      </w:r>
      <w:r>
        <w:rPr>
          <w:rFonts w:ascii="Times New Roman Regular" w:hAnsi="Times New Roman Regular" w:cs="Times New Roman Regular"/>
          <w:color w:val="000000"/>
          <w:szCs w:val="32"/>
        </w:rPr>
        <w:t>”</w:t>
      </w:r>
      <w:r>
        <w:rPr>
          <w:rFonts w:ascii="Times New Roman Regular" w:hAnsi="Times New Roman Regular" w:cs="Times New Roman Regular"/>
          <w:color w:val="000000"/>
          <w:szCs w:val="32"/>
        </w:rPr>
        <w:t>方针，高标准打造沿江特色示范段，把修复长江生态环境摆在压倒性位置，巩固强化长江岸线整治成果，严控长江岸线开发利用，加大长江水源地和七浦塘清水通道修复保护力度，抓好入江支流、沿江排污口整治工作，确保长江干流水质稳定为</w:t>
      </w:r>
      <w:r>
        <w:rPr>
          <w:rFonts w:ascii="Times New Roman Regular" w:hAnsi="Times New Roman Regular" w:cs="Times New Roman Regular"/>
          <w:color w:val="000000"/>
          <w:szCs w:val="32"/>
        </w:rPr>
        <w:t>Ⅲ</w:t>
      </w:r>
      <w:r>
        <w:rPr>
          <w:rFonts w:ascii="Times New Roman Regular" w:hAnsi="Times New Roman Regular" w:cs="Times New Roman Regular"/>
          <w:color w:val="000000"/>
          <w:szCs w:val="32"/>
        </w:rPr>
        <w:t>类，主要入江支流水质全部达到</w:t>
      </w:r>
      <w:r>
        <w:rPr>
          <w:rFonts w:ascii="Times New Roman Regular" w:hAnsi="Times New Roman Regular" w:cs="Times New Roman Regular"/>
          <w:color w:val="000000"/>
          <w:szCs w:val="32"/>
        </w:rPr>
        <w:t>Ⅲ</w:t>
      </w:r>
      <w:r>
        <w:rPr>
          <w:rFonts w:ascii="Times New Roman Regular" w:hAnsi="Times New Roman Regular" w:cs="Times New Roman Regular"/>
          <w:color w:val="000000"/>
          <w:szCs w:val="32"/>
        </w:rPr>
        <w:t>类。深入开展沿江生态治理工程，强化滩涂湿地修复、防护林带建设，构建沿江生态屏障，提升沿江空间景观品质。严格落实长江流域重点水域</w:t>
      </w:r>
      <w:r>
        <w:rPr>
          <w:rFonts w:ascii="Times New Roman Regular" w:hAnsi="Times New Roman Regular" w:cs="Times New Roman Regular"/>
          <w:color w:val="000000"/>
          <w:szCs w:val="32"/>
        </w:rPr>
        <w:t>“</w:t>
      </w:r>
      <w:r>
        <w:rPr>
          <w:rFonts w:ascii="Times New Roman Regular" w:hAnsi="Times New Roman Regular" w:cs="Times New Roman Regular"/>
          <w:color w:val="000000"/>
          <w:szCs w:val="32"/>
        </w:rPr>
        <w:t>十年禁渔</w:t>
      </w:r>
      <w:r>
        <w:rPr>
          <w:rFonts w:ascii="Times New Roman Regular" w:hAnsi="Times New Roman Regular" w:cs="Times New Roman Regular"/>
          <w:color w:val="000000"/>
          <w:szCs w:val="32"/>
        </w:rPr>
        <w:t>”</w:t>
      </w:r>
      <w:r>
        <w:rPr>
          <w:rFonts w:ascii="Times New Roman Regular" w:hAnsi="Times New Roman Regular" w:cs="Times New Roman Regular"/>
          <w:color w:val="000000"/>
          <w:szCs w:val="32"/>
        </w:rPr>
        <w:t>任务。提升长江堤防防洪能力，建设安澜长江太仓段。</w:t>
      </w:r>
    </w:p>
    <w:p w:rsidR="00B373FD">
      <w:pPr>
        <w:pStyle w:val="Heading3"/>
        <w:numPr>
          <w:ilvl w:val="2"/>
          <w:numId w:val="4"/>
        </w:numPr>
        <w:rPr>
          <w:rFonts w:ascii="Times New Roman Regular" w:hAnsi="Times New Roman Regular" w:cs="Times New Roman Regular"/>
        </w:rPr>
      </w:pPr>
      <w:r>
        <w:rPr>
          <w:rFonts w:ascii="Times New Roman Regular" w:hAnsi="Times New Roman Regular" w:cs="Times New Roman Regular"/>
        </w:rPr>
        <w:t>推进绿色港口建设</w:t>
      </w:r>
    </w:p>
    <w:p w:rsidR="00B373FD">
      <w:pPr>
        <w:adjustRightInd w:val="0"/>
        <w:snapToGrid w:val="0"/>
        <w:ind w:firstLine="640" w:firstLineChars="200"/>
        <w:rPr>
          <w:rFonts w:ascii="Times New Roman Regular" w:hAnsi="Times New Roman Regular" w:cs="Times New Roman Regular"/>
          <w:color w:val="000000"/>
          <w:szCs w:val="32"/>
        </w:rPr>
      </w:pPr>
      <w:r w:rsidRPr="008E1AA4">
        <w:rPr>
          <w:rFonts w:ascii="Times New Roman Regular" w:hAnsi="Times New Roman Regular" w:cs="Times New Roman Regular" w:hint="eastAsia"/>
          <w:szCs w:val="32"/>
          <w:lang w:val="zh-CN"/>
        </w:rPr>
        <w:t>全面完成辖区内河港口码头环境保护问题整改工作。加强船舶洗舱站、洗舱作业和洗舱水的接收转运处置流程监管力度，严厉查处船舶未按规定洗舱违法行为，提升化学品洗舱水的接收处置率。督促港口企业免费接收到港内河船舶的生活污水、生活垃圾，实现到港船舶污染物的零排放、全接收、全达标，接收的船舶生活污水、生活垃圾应与城市环卫公共处理有效衔接，强化船舶油污水等污染物接收、转运和处置能力建设，开展船舶含油类污染物处理专项检查，严厉打击船舶违法排放含油类污染物行为。建立船舶污染物“船</w:t>
      </w:r>
      <w:r w:rsidRPr="008E1AA4">
        <w:rPr>
          <w:rFonts w:ascii="Times New Roman Regular" w:hAnsi="Times New Roman Regular" w:cs="Times New Roman Regular" w:hint="eastAsia"/>
          <w:szCs w:val="32"/>
          <w:lang w:val="zh-CN"/>
        </w:rPr>
        <w:t>-</w:t>
      </w:r>
      <w:r w:rsidRPr="008E1AA4">
        <w:rPr>
          <w:rFonts w:ascii="Times New Roman Regular" w:hAnsi="Times New Roman Regular" w:cs="Times New Roman Regular" w:hint="eastAsia"/>
          <w:szCs w:val="32"/>
          <w:lang w:val="zh-CN"/>
        </w:rPr>
        <w:t>港</w:t>
      </w:r>
      <w:r w:rsidRPr="008E1AA4">
        <w:rPr>
          <w:rFonts w:ascii="Times New Roman Regular" w:hAnsi="Times New Roman Regular" w:cs="Times New Roman Regular" w:hint="eastAsia"/>
          <w:szCs w:val="32"/>
          <w:lang w:val="zh-CN"/>
        </w:rPr>
        <w:t>-</w:t>
      </w:r>
      <w:r w:rsidRPr="008E1AA4">
        <w:rPr>
          <w:rFonts w:ascii="Times New Roman Regular" w:hAnsi="Times New Roman Regular" w:cs="Times New Roman Regular" w:hint="eastAsia"/>
          <w:szCs w:val="32"/>
          <w:lang w:val="zh-CN"/>
        </w:rPr>
        <w:t>城”一体化处理模式。依托信息化系统，对港口船舶生态环保和污染防治设施配备及营运情况实施长效管理。防范环境风险，加强危化品运输风险管控</w:t>
      </w:r>
      <w:r w:rsidR="00C82635">
        <w:rPr>
          <w:rFonts w:ascii="Times New Roman Regular" w:hAnsi="Times New Roman Regular" w:cs="Times New Roman Regular"/>
          <w:szCs w:val="32"/>
          <w:lang w:val="zh-CN"/>
        </w:rPr>
        <w:t>。</w:t>
      </w:r>
    </w:p>
    <w:p w:rsidR="00B373FD">
      <w:pPr>
        <w:pStyle w:val="Heading2"/>
        <w:numPr>
          <w:ilvl w:val="1"/>
          <w:numId w:val="4"/>
        </w:numPr>
        <w:spacing w:before="156" w:after="156"/>
        <w:rPr>
          <w:rFonts w:ascii="Times New Roman Regular" w:hAnsi="Times New Roman Regular" w:cs="Times New Roman Regular"/>
        </w:rPr>
      </w:pPr>
      <w:bookmarkStart w:id="51" w:name="_Toc77862706"/>
      <w:r>
        <w:rPr>
          <w:rFonts w:ascii="Times New Roman Regular" w:hAnsi="Times New Roman Regular" w:cs="Times New Roman Regular" w:hint="eastAsia"/>
        </w:rPr>
        <w:t>全面</w:t>
      </w:r>
      <w:r>
        <w:rPr>
          <w:rFonts w:ascii="Times New Roman Regular" w:hAnsi="Times New Roman Regular" w:cs="Times New Roman Regular"/>
        </w:rPr>
        <w:t>推进碳达峰行动</w:t>
      </w:r>
      <w:r>
        <w:rPr>
          <w:rFonts w:ascii="Times New Roman Regular" w:hAnsi="Times New Roman Regular" w:cs="Times New Roman Regular" w:hint="eastAsia"/>
        </w:rPr>
        <w:t xml:space="preserve"> </w:t>
      </w:r>
      <w:r>
        <w:rPr>
          <w:rFonts w:ascii="Times New Roman Regular" w:hAnsi="Times New Roman Regular" w:cs="Times New Roman Regular" w:hint="eastAsia"/>
        </w:rPr>
        <w:t>推动绿色低碳循环发展</w:t>
      </w:r>
      <w:bookmarkEnd w:id="51"/>
    </w:p>
    <w:p w:rsidR="00B373FD">
      <w:pPr>
        <w:pStyle w:val="Heading3"/>
        <w:numPr>
          <w:ilvl w:val="2"/>
          <w:numId w:val="4"/>
        </w:numPr>
        <w:rPr>
          <w:rFonts w:ascii="Times New Roman Regular" w:hAnsi="Times New Roman Regular" w:cs="Times New Roman Regular"/>
        </w:rPr>
      </w:pPr>
      <w:r>
        <w:rPr>
          <w:rFonts w:ascii="Times New Roman Regular" w:hAnsi="Times New Roman Regular" w:cs="Times New Roman Regular"/>
        </w:rPr>
        <w:t>强化目标约束和峰值导向</w:t>
      </w:r>
    </w:p>
    <w:p w:rsidR="00B373FD">
      <w:pPr>
        <w:ind w:firstLine="640" w:firstLineChars="200"/>
        <w:rPr>
          <w:rFonts w:ascii="Times New Roman Regular" w:hAnsi="Times New Roman Regular" w:cs="Times New Roman Regular"/>
          <w:szCs w:val="32"/>
          <w:lang w:val="zh-CN"/>
        </w:rPr>
      </w:pPr>
      <w:r>
        <w:rPr>
          <w:rFonts w:ascii="Times New Roman Regular" w:hAnsi="Times New Roman Regular" w:cs="Times New Roman Regular"/>
          <w:color w:val="000000"/>
          <w:szCs w:val="32"/>
          <w:lang w:val="zh-CN"/>
        </w:rPr>
        <w:t>全面落实国家、省、市下达的温室气体排放约束性目标，加强甲烷、氢氟碳化物等非二氧化碳类温室气体控制，将碳排放强度降低目标纳入全市高质量发展考核指标，实施碳排放总量和强度</w:t>
      </w:r>
      <w:r>
        <w:rPr>
          <w:rFonts w:ascii="Times New Roman Regular" w:hAnsi="Times New Roman Regular" w:cs="Times New Roman Regular"/>
          <w:color w:val="000000"/>
          <w:szCs w:val="32"/>
          <w:lang w:val="zh-CN"/>
        </w:rPr>
        <w:t>“</w:t>
      </w:r>
      <w:r>
        <w:rPr>
          <w:rFonts w:ascii="Times New Roman Regular" w:hAnsi="Times New Roman Regular" w:cs="Times New Roman Regular"/>
          <w:color w:val="000000"/>
          <w:szCs w:val="32"/>
          <w:lang w:val="zh-CN"/>
        </w:rPr>
        <w:t>双控</w:t>
      </w:r>
      <w:r>
        <w:rPr>
          <w:rFonts w:ascii="Times New Roman Regular" w:hAnsi="Times New Roman Regular" w:cs="Times New Roman Regular"/>
          <w:color w:val="000000"/>
          <w:szCs w:val="32"/>
          <w:lang w:val="zh-CN"/>
        </w:rPr>
        <w:t>”</w:t>
      </w:r>
      <w:r>
        <w:rPr>
          <w:rFonts w:ascii="Times New Roman Regular" w:hAnsi="Times New Roman Regular" w:cs="Times New Roman Regular"/>
          <w:color w:val="000000"/>
          <w:szCs w:val="32"/>
          <w:lang w:val="zh-CN"/>
        </w:rPr>
        <w:t>。结合社会经济发展实际，</w:t>
      </w:r>
      <w:r>
        <w:rPr>
          <w:rFonts w:ascii="Times New Roman Regular" w:hAnsi="Times New Roman Regular" w:cs="Times New Roman Regular"/>
          <w:color w:val="000000"/>
          <w:szCs w:val="32"/>
        </w:rPr>
        <w:t>鼓励</w:t>
      </w:r>
      <w:r>
        <w:rPr>
          <w:rFonts w:ascii="Times New Roman Regular" w:hAnsi="Times New Roman Regular" w:cs="Times New Roman Regular"/>
          <w:color w:val="000000"/>
          <w:szCs w:val="32"/>
          <w:lang w:val="zh-CN"/>
        </w:rPr>
        <w:t>电力、建材等重点行业二氧化碳率先达峰，鼓励其他行业尽早制定峰值目标及达峰路线图。到</w:t>
      </w:r>
      <w:r>
        <w:rPr>
          <w:rFonts w:ascii="Times New Roman Regular" w:hAnsi="Times New Roman Regular" w:cs="Times New Roman Regular"/>
          <w:color w:val="000000"/>
          <w:szCs w:val="32"/>
          <w:lang w:val="zh-CN"/>
        </w:rPr>
        <w:t>2025</w:t>
      </w:r>
      <w:r>
        <w:rPr>
          <w:rFonts w:ascii="Times New Roman Regular" w:hAnsi="Times New Roman Regular" w:cs="Times New Roman Regular"/>
          <w:color w:val="000000"/>
          <w:szCs w:val="32"/>
          <w:lang w:val="zh-CN"/>
        </w:rPr>
        <w:t>年底，全市单位</w:t>
      </w:r>
      <w:r>
        <w:rPr>
          <w:rFonts w:ascii="Times New Roman Regular" w:hAnsi="Times New Roman Regular" w:cs="Times New Roman Regular"/>
          <w:color w:val="000000"/>
          <w:szCs w:val="32"/>
          <w:lang w:val="zh-CN"/>
        </w:rPr>
        <w:t>GDP</w:t>
      </w:r>
      <w:r>
        <w:rPr>
          <w:rFonts w:ascii="Times New Roman Regular" w:hAnsi="Times New Roman Regular" w:cs="Times New Roman Regular"/>
          <w:color w:val="000000"/>
          <w:szCs w:val="32"/>
          <w:lang w:val="zh-CN"/>
        </w:rPr>
        <w:t>二氧化碳排放强度下降率达到上级下达的目标要求。</w:t>
      </w:r>
    </w:p>
    <w:p w:rsidR="00B373FD">
      <w:pPr>
        <w:pStyle w:val="Heading3"/>
        <w:numPr>
          <w:ilvl w:val="2"/>
          <w:numId w:val="4"/>
        </w:numPr>
        <w:rPr>
          <w:rFonts w:ascii="Times New Roman Regular" w:hAnsi="Times New Roman Regular" w:cs="Times New Roman Regular"/>
        </w:rPr>
      </w:pPr>
      <w:r>
        <w:rPr>
          <w:rFonts w:ascii="Times New Roman Regular" w:hAnsi="Times New Roman Regular" w:cs="Times New Roman Regular"/>
        </w:rPr>
        <w:t>严控能源和煤炭消费总量</w:t>
      </w:r>
    </w:p>
    <w:p w:rsidR="00B373FD">
      <w:pPr>
        <w:ind w:firstLine="640" w:firstLineChars="200"/>
      </w:pPr>
      <w:r w:rsidRPr="008E1AA4">
        <w:rPr>
          <w:rFonts w:ascii="Times New Roman Regular" w:hAnsi="Times New Roman Regular" w:cs="Times New Roman Regular" w:hint="eastAsia"/>
          <w:szCs w:val="32"/>
          <w:lang w:val="zh-CN"/>
        </w:rPr>
        <w:t>严格落实能源消费“双控”任务。推进煤炭清洁高效利用和能源综合利用，实施煤炭消费减量替代，完成大机组供热半径范围内的燃煤小热电和分散锅炉关停整合。强化对燃煤电厂的能耗和排放监控，实施火电行业重点节能技术应用，切实推进煤电机组到期关停，加快电煤清洁替代。进一步优化能源结构，提高清洁能源比例。强化终端用能清洁替代，在金属冶炼、玻璃制造等行业推进高效工业电窑炉技术应用，在服装纺织、木材加工等行业推进高效工业电锅炉技术应用。到</w:t>
      </w:r>
      <w:r w:rsidRPr="008E1AA4">
        <w:rPr>
          <w:rFonts w:ascii="Times New Roman Regular" w:hAnsi="Times New Roman Regular" w:cs="Times New Roman Regular" w:hint="eastAsia"/>
          <w:szCs w:val="32"/>
          <w:lang w:val="zh-CN"/>
        </w:rPr>
        <w:t>2025</w:t>
      </w:r>
      <w:r w:rsidRPr="008E1AA4">
        <w:rPr>
          <w:rFonts w:ascii="Times New Roman Regular" w:hAnsi="Times New Roman Regular" w:cs="Times New Roman Regular" w:hint="eastAsia"/>
          <w:szCs w:val="32"/>
          <w:lang w:val="zh-CN"/>
        </w:rPr>
        <w:t>年，全面实现高污染燃料窑炉清洁替代，</w:t>
      </w:r>
      <w:r w:rsidRPr="008E1AA4">
        <w:rPr>
          <w:rFonts w:ascii="Times New Roman Regular" w:hAnsi="Times New Roman Regular" w:cs="Times New Roman Regular" w:hint="eastAsia"/>
          <w:szCs w:val="32"/>
          <w:lang w:val="zh-CN"/>
        </w:rPr>
        <w:t>35-65</w:t>
      </w:r>
      <w:r w:rsidRPr="008E1AA4">
        <w:rPr>
          <w:rFonts w:ascii="Times New Roman Regular" w:hAnsi="Times New Roman Regular" w:cs="Times New Roman Regular" w:hint="eastAsia"/>
          <w:szCs w:val="32"/>
          <w:lang w:val="zh-CN"/>
        </w:rPr>
        <w:t>蒸吨</w:t>
      </w:r>
      <w:r w:rsidRPr="008E1AA4">
        <w:rPr>
          <w:rFonts w:ascii="Times New Roman Regular" w:hAnsi="Times New Roman Regular" w:cs="Times New Roman Regular" w:hint="eastAsia"/>
          <w:szCs w:val="32"/>
          <w:lang w:val="zh-CN"/>
        </w:rPr>
        <w:t>/</w:t>
      </w:r>
      <w:r w:rsidRPr="008E1AA4">
        <w:rPr>
          <w:rFonts w:ascii="Times New Roman Regular" w:hAnsi="Times New Roman Regular" w:cs="Times New Roman Regular" w:hint="eastAsia"/>
          <w:szCs w:val="32"/>
          <w:lang w:val="zh-CN"/>
        </w:rPr>
        <w:t>小时燃煤锅炉全面完成清洁替代、集中供热整改</w:t>
      </w:r>
      <w:r w:rsidR="00C82635">
        <w:rPr>
          <w:rFonts w:ascii="Times New Roman Regular" w:hAnsi="Times New Roman Regular" w:cs="Times New Roman Regular"/>
          <w:szCs w:val="32"/>
          <w:lang w:val="zh-CN"/>
        </w:rPr>
        <w:t>。</w:t>
      </w:r>
    </w:p>
    <w:p w:rsidR="00B373FD">
      <w:pPr>
        <w:pStyle w:val="Heading3"/>
        <w:numPr>
          <w:ilvl w:val="2"/>
          <w:numId w:val="4"/>
        </w:numPr>
        <w:rPr>
          <w:rFonts w:ascii="Times New Roman Regular" w:hAnsi="Times New Roman Regular" w:cs="Times New Roman Regular"/>
        </w:rPr>
      </w:pPr>
      <w:r>
        <w:rPr>
          <w:rFonts w:ascii="Times New Roman Regular" w:hAnsi="Times New Roman Regular" w:cs="Times New Roman Regular"/>
        </w:rPr>
        <w:t>推进产业结构绿色转型</w:t>
      </w:r>
    </w:p>
    <w:p w:rsidR="00B373FD" w:rsidRPr="00D2586B" w:rsidP="00D2586B">
      <w:pPr>
        <w:ind w:firstLine="640" w:firstLineChars="200"/>
        <w:rPr>
          <w:rFonts w:ascii="Times New Roman Regular" w:hAnsi="Times New Roman Regular" w:cs="Times New Roman Regular"/>
          <w:szCs w:val="32"/>
          <w:lang w:val="zh-CN"/>
        </w:rPr>
      </w:pPr>
      <w:r w:rsidRPr="00D2586B">
        <w:rPr>
          <w:rFonts w:ascii="Times New Roman Regular" w:hAnsi="Times New Roman Regular" w:cs="Times New Roman Regular"/>
          <w:b/>
          <w:szCs w:val="32"/>
          <w:lang w:val="zh-CN"/>
        </w:rPr>
        <w:t>加快落后低效和过剩产能淘汰。</w:t>
      </w:r>
      <w:r w:rsidRPr="008E1AA4" w:rsidR="008E1AA4">
        <w:rPr>
          <w:rFonts w:ascii="Times New Roman Regular" w:hAnsi="Times New Roman Regular" w:cs="Times New Roman Regular" w:hint="eastAsia"/>
          <w:szCs w:val="32"/>
          <w:lang w:val="zh-CN"/>
        </w:rPr>
        <w:t>深入推进供给侧结构性改革“去产能”工作，利用综合标准依法依规淘汰能耗不达标、环保不达标、质量不过关、安全没保障、技术低端落后的企业和项目。加快推动淘汰落后产能和过剩产能的“出清”，推动高耗能行业和重点用能单位开展节能诊断，对达不到强制性能耗限额标准要求的企业加以整改，逾期未整改或经整改仍未达标的，依法关停退出。大力减少落后化工产能，禁止新增化工园区。深化工业企业资源集约利用评价机制，结合工业企业资源集约利用综合评价结果，对排序靠后企业制定改造或退出方案清单，鼓励其主动关停退出，落实财政和金融政策支持。继续加强“散乱污”企业的整治，集中整治镇村工业集中区，加强监管执法和举报核查。</w:t>
      </w:r>
    </w:p>
    <w:p w:rsidR="00B373FD">
      <w:pPr>
        <w:ind w:firstLine="640" w:firstLineChars="200"/>
        <w:rPr>
          <w:rFonts w:ascii="Times New Roman Regular" w:hAnsi="Times New Roman Regular" w:cs="Times New Roman Regular"/>
          <w:szCs w:val="32"/>
          <w:lang w:val="zh-CN"/>
        </w:rPr>
      </w:pPr>
      <w:r>
        <w:rPr>
          <w:rFonts w:ascii="Times New Roman Regular" w:hAnsi="Times New Roman Regular" w:cs="Times New Roman Regular"/>
          <w:b/>
          <w:szCs w:val="32"/>
        </w:rPr>
        <w:t>加快传统产业转型升级。</w:t>
      </w:r>
      <w:r>
        <w:rPr>
          <w:rFonts w:ascii="Times New Roman Regular" w:hAnsi="Times New Roman Regular" w:cs="Times New Roman Regular"/>
          <w:szCs w:val="32"/>
          <w:lang w:val="zh-CN"/>
        </w:rPr>
        <w:t>大力发展</w:t>
      </w:r>
      <w:r>
        <w:rPr>
          <w:rFonts w:ascii="Times New Roman Regular" w:hAnsi="Times New Roman Regular" w:cs="Times New Roman Regular"/>
          <w:szCs w:val="32"/>
          <w:lang w:val="zh-CN"/>
        </w:rPr>
        <w:t>“</w:t>
      </w:r>
      <w:r>
        <w:rPr>
          <w:rFonts w:ascii="Times New Roman Regular" w:hAnsi="Times New Roman Regular" w:cs="Times New Roman Regular"/>
          <w:szCs w:val="32"/>
          <w:lang w:val="zh-CN"/>
        </w:rPr>
        <w:t>农业</w:t>
      </w:r>
      <w:r>
        <w:rPr>
          <w:rFonts w:ascii="Times New Roman Regular" w:hAnsi="Times New Roman Regular" w:cs="Times New Roman Regular"/>
          <w:szCs w:val="32"/>
          <w:lang w:val="zh-CN"/>
        </w:rPr>
        <w:t>+</w:t>
      </w:r>
      <w:r>
        <w:rPr>
          <w:rFonts w:ascii="Times New Roman Regular" w:hAnsi="Times New Roman Regular" w:cs="Times New Roman Regular"/>
          <w:szCs w:val="32"/>
          <w:lang w:val="zh-CN"/>
        </w:rPr>
        <w:t>旅游</w:t>
      </w:r>
      <w:r>
        <w:rPr>
          <w:rFonts w:ascii="Times New Roman Regular" w:hAnsi="Times New Roman Regular" w:cs="Times New Roman Regular"/>
          <w:szCs w:val="32"/>
          <w:lang w:val="zh-CN"/>
        </w:rPr>
        <w:t>”</w:t>
      </w:r>
      <w:r w:rsidR="00DE4718">
        <w:rPr>
          <w:rFonts w:ascii="Times New Roman Regular" w:hAnsi="Times New Roman Regular" w:cs="Times New Roman Regular" w:hint="eastAsia"/>
          <w:szCs w:val="32"/>
          <w:lang w:val="zh-CN"/>
        </w:rPr>
        <w:t>、</w:t>
      </w:r>
      <w:r>
        <w:rPr>
          <w:rFonts w:ascii="Times New Roman Regular" w:hAnsi="Times New Roman Regular" w:cs="Times New Roman Regular"/>
          <w:szCs w:val="32"/>
          <w:lang w:val="zh-CN"/>
        </w:rPr>
        <w:t>“</w:t>
      </w:r>
      <w:r>
        <w:rPr>
          <w:rFonts w:ascii="Times New Roman Regular" w:hAnsi="Times New Roman Regular" w:cs="Times New Roman Regular"/>
          <w:szCs w:val="32"/>
          <w:lang w:val="zh-CN"/>
        </w:rPr>
        <w:t>农</w:t>
      </w:r>
      <w:r>
        <w:rPr>
          <w:rFonts w:ascii="Times New Roman Regular" w:hAnsi="Times New Roman Regular" w:cs="Times New Roman Regular"/>
          <w:szCs w:val="32"/>
          <w:lang w:val="zh-CN"/>
        </w:rPr>
        <w:t>业</w:t>
      </w:r>
      <w:r>
        <w:rPr>
          <w:rFonts w:ascii="Times New Roman Regular" w:hAnsi="Times New Roman Regular" w:cs="Times New Roman Regular"/>
          <w:szCs w:val="32"/>
          <w:lang w:val="zh-CN"/>
        </w:rPr>
        <w:t>+</w:t>
      </w:r>
      <w:r>
        <w:rPr>
          <w:rFonts w:ascii="Times New Roman Regular" w:hAnsi="Times New Roman Regular" w:cs="Times New Roman Regular"/>
          <w:szCs w:val="32"/>
          <w:lang w:val="zh-CN"/>
        </w:rPr>
        <w:t>节会</w:t>
      </w:r>
      <w:r>
        <w:rPr>
          <w:rFonts w:ascii="Times New Roman Regular" w:hAnsi="Times New Roman Regular" w:cs="Times New Roman Regular"/>
          <w:szCs w:val="32"/>
          <w:lang w:val="zh-CN"/>
        </w:rPr>
        <w:t>”</w:t>
      </w:r>
      <w:r w:rsidR="00DE4718">
        <w:rPr>
          <w:rFonts w:ascii="Times New Roman Regular" w:hAnsi="Times New Roman Regular" w:cs="Times New Roman Regular" w:hint="eastAsia"/>
          <w:szCs w:val="32"/>
          <w:lang w:val="zh-CN"/>
        </w:rPr>
        <w:t>、</w:t>
      </w:r>
      <w:r>
        <w:rPr>
          <w:rFonts w:ascii="Times New Roman Regular" w:hAnsi="Times New Roman Regular" w:cs="Times New Roman Regular"/>
          <w:szCs w:val="32"/>
          <w:lang w:val="zh-CN"/>
        </w:rPr>
        <w:t>“</w:t>
      </w:r>
      <w:r>
        <w:rPr>
          <w:rFonts w:ascii="Times New Roman Regular" w:hAnsi="Times New Roman Regular" w:cs="Times New Roman Regular"/>
          <w:szCs w:val="32"/>
          <w:lang w:val="zh-CN"/>
        </w:rPr>
        <w:t>农业</w:t>
      </w:r>
      <w:r>
        <w:rPr>
          <w:rFonts w:ascii="Times New Roman Regular" w:hAnsi="Times New Roman Regular" w:cs="Times New Roman Regular"/>
          <w:szCs w:val="32"/>
          <w:lang w:val="zh-CN"/>
        </w:rPr>
        <w:t>+</w:t>
      </w:r>
      <w:r>
        <w:rPr>
          <w:rFonts w:ascii="Times New Roman Regular" w:hAnsi="Times New Roman Regular" w:cs="Times New Roman Regular"/>
          <w:szCs w:val="32"/>
          <w:lang w:val="zh-CN"/>
        </w:rPr>
        <w:t>文化</w:t>
      </w:r>
      <w:r>
        <w:rPr>
          <w:rFonts w:ascii="Times New Roman Regular" w:hAnsi="Times New Roman Regular" w:cs="Times New Roman Regular"/>
          <w:szCs w:val="32"/>
          <w:lang w:val="zh-CN"/>
        </w:rPr>
        <w:t>”</w:t>
      </w:r>
      <w:r w:rsidR="00DE4718">
        <w:rPr>
          <w:rFonts w:ascii="Times New Roman Regular" w:hAnsi="Times New Roman Regular" w:cs="Times New Roman Regular" w:hint="eastAsia"/>
          <w:szCs w:val="32"/>
          <w:lang w:val="zh-CN"/>
        </w:rPr>
        <w:t>、</w:t>
      </w:r>
      <w:r>
        <w:rPr>
          <w:rFonts w:ascii="Times New Roman Regular" w:hAnsi="Times New Roman Regular" w:cs="Times New Roman Regular"/>
          <w:szCs w:val="32"/>
          <w:lang w:val="zh-CN"/>
        </w:rPr>
        <w:t>“</w:t>
      </w:r>
      <w:r>
        <w:rPr>
          <w:rFonts w:ascii="Times New Roman Regular" w:hAnsi="Times New Roman Regular" w:cs="Times New Roman Regular"/>
          <w:szCs w:val="32"/>
          <w:lang w:val="zh-CN"/>
        </w:rPr>
        <w:t>农业</w:t>
      </w:r>
      <w:r>
        <w:rPr>
          <w:rFonts w:ascii="Times New Roman Regular" w:hAnsi="Times New Roman Regular" w:cs="Times New Roman Regular"/>
          <w:szCs w:val="32"/>
          <w:lang w:val="zh-CN"/>
        </w:rPr>
        <w:t>+</w:t>
      </w:r>
      <w:r>
        <w:rPr>
          <w:rFonts w:ascii="Times New Roman Regular" w:hAnsi="Times New Roman Regular" w:cs="Times New Roman Regular"/>
          <w:szCs w:val="32"/>
          <w:lang w:val="zh-CN"/>
        </w:rPr>
        <w:t>电商</w:t>
      </w:r>
      <w:r>
        <w:rPr>
          <w:rFonts w:ascii="Times New Roman Regular" w:hAnsi="Times New Roman Regular" w:cs="Times New Roman Regular"/>
          <w:szCs w:val="32"/>
          <w:lang w:val="zh-CN"/>
        </w:rPr>
        <w:t>”</w:t>
      </w:r>
      <w:r>
        <w:rPr>
          <w:rFonts w:ascii="Times New Roman Regular" w:hAnsi="Times New Roman Regular" w:cs="Times New Roman Regular"/>
          <w:szCs w:val="32"/>
          <w:lang w:val="zh-CN"/>
        </w:rPr>
        <w:t>产业发展的新业态，促进生态农业和服务业的融合发展，做强国家级现代农业示范园区，促进现代农业提质增效。坚持智能化、绿色化、品牌化、集群化的发展思路，提升传统产业竞争力。大力支持纺织、化纤、服装产业的转型升级，以工业设计和产品创新为先导，推动服务化转型，培育一批自主品牌。积极应用绿色技术，推动化工、电力、造纸等产业绿色化改造，建设国内领先的绿色产业标杆。</w:t>
      </w:r>
    </w:p>
    <w:p w:rsidR="00B373FD" w:rsidP="00590C1E">
      <w:pPr>
        <w:widowControl/>
        <w:ind w:firstLine="640" w:firstLineChars="200"/>
        <w:rPr>
          <w:rFonts w:ascii="Times New Roman Regular" w:hAnsi="Times New Roman Regular" w:cs="Times New Roman Regular"/>
          <w:szCs w:val="32"/>
          <w:lang w:val="zh-CN"/>
        </w:rPr>
      </w:pPr>
      <w:r>
        <w:rPr>
          <w:rFonts w:ascii="Times New Roman Regular" w:hAnsi="Times New Roman Regular" w:cs="Times New Roman Regular"/>
          <w:b/>
          <w:szCs w:val="32"/>
        </w:rPr>
        <w:t>推动产业链绿色发展。</w:t>
      </w:r>
      <w:r>
        <w:rPr>
          <w:rFonts w:ascii="Times New Roman Regular" w:hAnsi="Times New Roman Regular" w:cs="Times New Roman Regular"/>
          <w:szCs w:val="32"/>
          <w:lang w:val="zh-CN"/>
        </w:rPr>
        <w:t>推动产业园区循环化绿色发展。采用绿色低碳循环技术，实施园区循环化改造提升工程及生态工业园区创建，推动企业循环式生产、产业循环式组合，搭建资源共享、废物处理公共平台，提高能源资源综合利用效率，全面推进</w:t>
      </w:r>
      <w:r>
        <w:rPr>
          <w:rFonts w:ascii="Times New Roman Regular" w:hAnsi="Times New Roman Regular" w:cs="Times New Roman Regular"/>
          <w:szCs w:val="32"/>
          <w:lang w:val="zh-CN"/>
        </w:rPr>
        <w:t>“</w:t>
      </w:r>
      <w:r>
        <w:rPr>
          <w:rFonts w:ascii="Times New Roman Regular" w:hAnsi="Times New Roman Regular" w:cs="Times New Roman Regular"/>
          <w:szCs w:val="32"/>
          <w:lang w:val="zh-CN"/>
        </w:rPr>
        <w:t>绿岛</w:t>
      </w:r>
      <w:r>
        <w:rPr>
          <w:rFonts w:ascii="Times New Roman Regular" w:hAnsi="Times New Roman Regular" w:cs="Times New Roman Regular"/>
          <w:szCs w:val="32"/>
          <w:lang w:val="zh-CN"/>
        </w:rPr>
        <w:t>”</w:t>
      </w:r>
      <w:r>
        <w:rPr>
          <w:rFonts w:ascii="Times New Roman Regular" w:hAnsi="Times New Roman Regular" w:cs="Times New Roman Regular"/>
          <w:szCs w:val="32"/>
          <w:lang w:val="zh-CN"/>
        </w:rPr>
        <w:t>建设，实现园区污染共治、利益共享、风险共担。</w:t>
      </w:r>
      <w:r>
        <w:rPr>
          <w:rFonts w:ascii="仿宋_GB2312" w:hint="eastAsia"/>
          <w:szCs w:val="32"/>
        </w:rPr>
        <w:t>支持企业实施绿色战略、绿色标准、绿色管理和绿色生产等体系改造建设，分领域打造一批具有行业推广示范的绿色工厂；积极推动园区企业间和企业内部的循环链条培育延伸，探索建立资源联供、产品联产和产业耦合共生的循环经济发展模式，争取打造一批国家级绿色示范园区；推行可持续的绿色供应链管理战略，实施绿色伙伴式供应商管理，培育一批绿色供应链示范企业。</w:t>
      </w:r>
    </w:p>
    <w:p w:rsidR="00B373FD">
      <w:pPr>
        <w:pStyle w:val="Heading3"/>
        <w:numPr>
          <w:ilvl w:val="2"/>
          <w:numId w:val="4"/>
        </w:numPr>
        <w:rPr>
          <w:rFonts w:ascii="Times New Roman Regular" w:hAnsi="Times New Roman Regular" w:cs="Times New Roman Regular"/>
        </w:rPr>
      </w:pPr>
      <w:r>
        <w:rPr>
          <w:rFonts w:ascii="Times New Roman Regular" w:hAnsi="Times New Roman Regular" w:cs="Times New Roman Regular"/>
        </w:rPr>
        <w:t>推进生产生活方式低碳转型</w:t>
      </w:r>
    </w:p>
    <w:p w:rsidR="008E1AA4" w:rsidRPr="008E1AA4" w:rsidP="008E1AA4">
      <w:pPr>
        <w:ind w:firstLine="640" w:firstLineChars="200"/>
        <w:rPr>
          <w:szCs w:val="32"/>
          <w:lang w:val="zh-CN"/>
        </w:rPr>
      </w:pPr>
      <w:r w:rsidRPr="008E1AA4">
        <w:rPr>
          <w:b/>
          <w:bCs/>
          <w:szCs w:val="32"/>
          <w:lang w:val="zh-CN"/>
        </w:rPr>
        <w:t>持续降低工业碳排放。</w:t>
      </w:r>
      <w:r w:rsidRPr="008E1AA4">
        <w:rPr>
          <w:szCs w:val="32"/>
          <w:lang w:val="zh-CN"/>
        </w:rPr>
        <w:t>严格控制电力、钢铁、纺织、造纸、化工、建材等重点高耗能行业和高耗能企业温室气体排放总量，积极开展碳排放对标活动，有效降低单位产品碳排</w:t>
      </w:r>
      <w:r w:rsidRPr="008E1AA4">
        <w:rPr>
          <w:szCs w:val="32"/>
          <w:lang w:val="zh-CN"/>
        </w:rPr>
        <w:t>放强度。以先进适用技术和关键共性技术为重点，积极推广低碳新工艺、新技术，支持采取原料替代、生产工艺改善、设备改进等措施减少工业过程温室气体排放。加强企业碳排放管理体系建设，强化从原料到产品的全过程碳排放管理。加快推进汽车、电器等用能产品及日用消费品的低碳产品认证工作。</w:t>
      </w:r>
    </w:p>
    <w:p w:rsidR="008E1AA4" w:rsidRPr="008E1AA4" w:rsidP="008E1AA4">
      <w:pPr>
        <w:ind w:firstLine="640" w:firstLineChars="200"/>
        <w:rPr>
          <w:lang w:val="zh-CN"/>
        </w:rPr>
      </w:pPr>
      <w:r w:rsidRPr="008E1AA4">
        <w:rPr>
          <w:b/>
          <w:bCs/>
          <w:szCs w:val="32"/>
          <w:lang w:val="zh-CN"/>
        </w:rPr>
        <w:t>推进农业低碳融合发展。</w:t>
      </w:r>
      <w:r w:rsidRPr="008E1AA4">
        <w:rPr>
          <w:szCs w:val="32"/>
          <w:lang w:val="zh-CN"/>
        </w:rPr>
        <w:t>深化实施农业绿色发展行动，开展低碳农业试点示范，推广农业循环生产方式。</w:t>
      </w:r>
      <w:r w:rsidRPr="008E1AA4">
        <w:rPr>
          <w:color w:val="000000"/>
          <w:szCs w:val="40"/>
        </w:rPr>
        <w:t>持续推进化肥使用减量增效，深入实施测土配方施肥，鼓励使用有机肥、生物肥和种植绿肥。加大生物农药推广力度，强化农药科学使用指导，提升统防统治覆盖率，持续推进绿色防控示范区建设。加强高捕碳固碳作物种类筛选，实施作物品种替代，研发生物质炭土壤固碳技术，提高土壤有机质含量，增强农田土壤生态系统长期固碳能力。加强畜禽养殖场畜禽温室气体排放控制和大中型沼气工程建设指导工作。</w:t>
      </w:r>
    </w:p>
    <w:p w:rsidR="00B373FD" w:rsidRPr="008E1AA4" w:rsidP="008E1AA4">
      <w:pPr>
        <w:ind w:firstLine="640" w:firstLineChars="200"/>
        <w:rPr>
          <w:rFonts w:ascii="Times New Roman Regular" w:hAnsi="Times New Roman Regular" w:cs="Times New Roman Regular"/>
          <w:szCs w:val="32"/>
        </w:rPr>
      </w:pPr>
      <w:r w:rsidRPr="008E1AA4">
        <w:rPr>
          <w:b/>
          <w:bCs/>
          <w:szCs w:val="32"/>
          <w:lang w:val="zh-CN"/>
        </w:rPr>
        <w:t>全面倡导绿色低碳生活。</w:t>
      </w:r>
      <w:r w:rsidRPr="008E1AA4">
        <w:rPr>
          <w:szCs w:val="32"/>
          <w:lang w:val="zh-CN"/>
        </w:rPr>
        <w:t>加强绿色消费行为引导，推广节能、可再生能源等新技术和节能低碳节水产品应用，反对过度包装。科学制定绿色消费产品采购指南，进一步扩大节能和环境标志产品政府采购范围，确保列入政府采购目录的绿色产品占到</w:t>
      </w:r>
      <w:r w:rsidRPr="008E1AA4">
        <w:rPr>
          <w:szCs w:val="32"/>
          <w:lang w:val="zh-CN"/>
        </w:rPr>
        <w:t>50%</w:t>
      </w:r>
      <w:r w:rsidRPr="008E1AA4">
        <w:rPr>
          <w:szCs w:val="32"/>
          <w:lang w:val="zh-CN"/>
        </w:rPr>
        <w:t>以上。提倡低碳餐饮，鼓励食用绿色无公害食品，积极推行</w:t>
      </w:r>
      <w:r w:rsidRPr="008E1AA4">
        <w:rPr>
          <w:szCs w:val="32"/>
          <w:lang w:val="zh-CN"/>
        </w:rPr>
        <w:t>“</w:t>
      </w:r>
      <w:r w:rsidRPr="008E1AA4">
        <w:rPr>
          <w:szCs w:val="32"/>
          <w:lang w:val="zh-CN"/>
        </w:rPr>
        <w:t>光盘行动</w:t>
      </w:r>
      <w:r w:rsidRPr="008E1AA4">
        <w:rPr>
          <w:szCs w:val="32"/>
          <w:lang w:val="zh-CN"/>
        </w:rPr>
        <w:t>”</w:t>
      </w:r>
      <w:r w:rsidRPr="008E1AA4">
        <w:rPr>
          <w:szCs w:val="32"/>
          <w:lang w:val="zh-CN"/>
        </w:rPr>
        <w:t>，遏制食品浪费。倡导低碳居住，鼓励使用节电型电器和照明产品。</w:t>
      </w:r>
      <w:r w:rsidRPr="008E1AA4">
        <w:rPr>
          <w:rFonts w:hint="eastAsia"/>
          <w:szCs w:val="32"/>
          <w:lang w:val="zh-CN"/>
        </w:rPr>
        <w:t>积极开展绿色出行创建行动，推行“绿色车轮计划”，推广应用节能环保型交通运输装备，加快淘汰老旧车辆，加大新能源和清洁能源车辆在</w:t>
      </w:r>
      <w:r w:rsidRPr="008E1AA4">
        <w:rPr>
          <w:rFonts w:hint="eastAsia"/>
          <w:szCs w:val="32"/>
          <w:lang w:val="zh-CN"/>
        </w:rPr>
        <w:t>城市公交等领域应用，力争</w:t>
      </w:r>
      <w:r w:rsidRPr="008E1AA4">
        <w:rPr>
          <w:rFonts w:hint="eastAsia"/>
          <w:szCs w:val="32"/>
          <w:lang w:val="zh-CN"/>
        </w:rPr>
        <w:t>2025</w:t>
      </w:r>
      <w:r w:rsidRPr="008E1AA4">
        <w:rPr>
          <w:rFonts w:hint="eastAsia"/>
          <w:szCs w:val="32"/>
          <w:lang w:val="zh-CN"/>
        </w:rPr>
        <w:t>年太仓市清洁能源和新能源公交车占比达</w:t>
      </w:r>
      <w:r w:rsidRPr="008E1AA4">
        <w:rPr>
          <w:rFonts w:hint="eastAsia"/>
          <w:szCs w:val="32"/>
          <w:lang w:val="zh-CN"/>
        </w:rPr>
        <w:t>60%</w:t>
      </w:r>
      <w:r w:rsidRPr="008E1AA4">
        <w:rPr>
          <w:rFonts w:hint="eastAsia"/>
          <w:szCs w:val="32"/>
          <w:lang w:val="zh-CN"/>
        </w:rPr>
        <w:t>以上，适时推动氢能源公交车试点。发展装配式建筑，提高新建绿色建筑比例</w:t>
      </w:r>
      <w:r w:rsidRPr="008E1AA4" w:rsidR="00C82635">
        <w:rPr>
          <w:rFonts w:ascii="Times New Roman Regular" w:hAnsi="Times New Roman Regular" w:cs="Times New Roman Regular"/>
          <w:szCs w:val="32"/>
          <w:lang w:val="zh-CN"/>
        </w:rPr>
        <w:t>。</w:t>
      </w:r>
    </w:p>
    <w:p w:rsidR="00B373FD">
      <w:pPr>
        <w:pStyle w:val="Heading3"/>
        <w:numPr>
          <w:ilvl w:val="2"/>
          <w:numId w:val="4"/>
        </w:numPr>
        <w:rPr>
          <w:rFonts w:ascii="Times New Roman Regular" w:hAnsi="Times New Roman Regular" w:cs="Times New Roman Regular"/>
        </w:rPr>
      </w:pPr>
      <w:r>
        <w:rPr>
          <w:rFonts w:ascii="Times New Roman Regular" w:hAnsi="Times New Roman Regular" w:cs="Times New Roman Regular"/>
        </w:rPr>
        <w:t>夯实应对气候变化基础支撑</w:t>
      </w:r>
    </w:p>
    <w:p w:rsidR="008E1AA4" w:rsidRPr="008E1AA4" w:rsidP="008E1AA4">
      <w:pPr>
        <w:ind w:firstLine="640" w:firstLineChars="200"/>
        <w:rPr>
          <w:szCs w:val="32"/>
          <w:lang w:val="zh-CN"/>
        </w:rPr>
      </w:pPr>
      <w:r w:rsidRPr="008E1AA4">
        <w:rPr>
          <w:b/>
          <w:bCs/>
          <w:szCs w:val="32"/>
          <w:lang w:val="zh-CN"/>
        </w:rPr>
        <w:t>推进协同减排和融合管控。</w:t>
      </w:r>
      <w:r w:rsidRPr="008E1AA4">
        <w:rPr>
          <w:szCs w:val="32"/>
          <w:lang w:val="zh-CN"/>
        </w:rPr>
        <w:t>积极探索温室气体排放与污染防治监管体系的有效衔接，强化治理目标的一致性和治理体系的协同性。将碳排放重点企业纳入污染源日常监管，推进碳排放报告、监测、核查制度与排污许可制度融合，促进企事业单位污染物和温室气体排放相关数据的统一采集、相互补充、交叉校核。</w:t>
      </w:r>
    </w:p>
    <w:p w:rsidR="008E1AA4" w:rsidRPr="008E1AA4" w:rsidP="008E1AA4">
      <w:pPr>
        <w:ind w:firstLine="640" w:firstLineChars="200"/>
        <w:rPr>
          <w:szCs w:val="32"/>
          <w:lang w:val="zh-CN"/>
        </w:rPr>
      </w:pPr>
      <w:r w:rsidRPr="008E1AA4">
        <w:rPr>
          <w:b/>
          <w:bCs/>
          <w:szCs w:val="32"/>
          <w:lang w:val="zh-CN"/>
        </w:rPr>
        <w:t>加强温室气体排放统计与核算。</w:t>
      </w:r>
      <w:r w:rsidRPr="008E1AA4">
        <w:rPr>
          <w:szCs w:val="32"/>
          <w:lang w:val="zh-CN"/>
        </w:rPr>
        <w:t>健全温室气体排放基础数据统计指标体系，进一步完善相关统计报表制度，逐步在环境统计相关工作中协同开展温室气体排放专项调查。</w:t>
      </w:r>
    </w:p>
    <w:p w:rsidR="008E1AA4" w:rsidRPr="008E1AA4" w:rsidP="008E1AA4">
      <w:pPr>
        <w:ind w:firstLine="640" w:firstLineChars="200"/>
        <w:rPr>
          <w:szCs w:val="32"/>
          <w:lang w:val="zh-CN"/>
        </w:rPr>
      </w:pPr>
      <w:r w:rsidRPr="008E1AA4">
        <w:rPr>
          <w:b/>
          <w:bCs/>
          <w:szCs w:val="32"/>
          <w:lang w:val="zh-CN"/>
        </w:rPr>
        <w:t>加快推行碳排放权交易。</w:t>
      </w:r>
      <w:r w:rsidRPr="008E1AA4">
        <w:rPr>
          <w:szCs w:val="32"/>
          <w:lang w:val="zh-CN"/>
        </w:rPr>
        <w:t>落实国家和省、市碳排放权交易市场建设的统一部署，完成全市重点排放企业历史数据核查、配额分配等工作，确保重点排放单位按期全部进入全国碳排放交易市场。加强重点排放单位温室气体排放和碳排放配额清缴情况监督检查，对虚报、瞒报温室气体排放报告或未按时足额清缴碳排放配额的实施严格处罚。</w:t>
      </w:r>
    </w:p>
    <w:p w:rsidR="008E1AA4" w:rsidRPr="008E1AA4" w:rsidP="008E1AA4">
      <w:pPr>
        <w:adjustRightInd w:val="0"/>
        <w:snapToGrid w:val="0"/>
        <w:ind w:firstLine="640" w:firstLineChars="200"/>
        <w:rPr>
          <w:color w:val="0D0D0D"/>
        </w:rPr>
      </w:pPr>
      <w:r w:rsidRPr="008E1AA4">
        <w:rPr>
          <w:rFonts w:ascii="Times New Roman Regular" w:hAnsi="Times New Roman Regular" w:cs="Times New Roman Regular"/>
          <w:b/>
          <w:szCs w:val="32"/>
        </w:rPr>
        <w:t>增加林业系统碳汇。</w:t>
      </w:r>
      <w:r w:rsidRPr="008E1AA4">
        <w:rPr>
          <w:rFonts w:hint="eastAsia"/>
          <w:color w:val="0D0D0D"/>
        </w:rPr>
        <w:t>实施国土绿化行动，统筹城乡绿化美化，积极深化城市森林建设，努力提升村庄绿化水平。优化造林模式，提高乡土树种和混交林比例，合理配置造林树种和造林密度，培育健康森林。深入推进义务植树活动，创新义务植树实现形式，提高义务植树尽责率和有效性。</w:t>
      </w:r>
    </w:p>
    <w:p w:rsidR="00B373FD" w:rsidRPr="008E1AA4" w:rsidP="008E1AA4">
      <w:pPr>
        <w:adjustRightInd w:val="0"/>
        <w:snapToGrid w:val="0"/>
        <w:ind w:firstLine="640" w:firstLineChars="200"/>
        <w:rPr>
          <w:rFonts w:ascii="Times New Roman Regular" w:hAnsi="Times New Roman Regular" w:cs="Times New Roman Regular"/>
          <w:szCs w:val="32"/>
        </w:rPr>
      </w:pPr>
      <w:r w:rsidRPr="008E1AA4">
        <w:rPr>
          <w:rFonts w:ascii="Times New Roman Regular" w:hAnsi="Times New Roman Regular" w:cs="Times New Roman Regular"/>
          <w:b/>
          <w:szCs w:val="32"/>
        </w:rPr>
        <w:t>增加湿地系统碳汇。</w:t>
      </w:r>
      <w:r w:rsidRPr="008E1AA4">
        <w:rPr>
          <w:rFonts w:hint="eastAsia"/>
          <w:color w:val="0D0D0D"/>
        </w:rPr>
        <w:t>加强湿地的总量管控和用途管制，落实自然湿地保护目标责任，建立和完善湿地保护管理体系。开展湿地可持续利用示范，加大自然保护区、湿地公园、湿地保护小区建设，增加湿地面积、恢复湿地功能、增强湿地储碳能力</w:t>
      </w:r>
      <w:r w:rsidRPr="008E1AA4" w:rsidR="00C82635">
        <w:rPr>
          <w:rFonts w:hint="eastAsia"/>
          <w:color w:val="0D0D0D"/>
        </w:rPr>
        <w:t>。</w:t>
      </w:r>
    </w:p>
    <w:p w:rsidR="00B373FD">
      <w:pPr>
        <w:pStyle w:val="Heading2"/>
        <w:numPr>
          <w:ilvl w:val="1"/>
          <w:numId w:val="4"/>
        </w:numPr>
        <w:spacing w:before="156" w:after="156"/>
        <w:rPr>
          <w:rFonts w:ascii="Times New Roman Regular" w:hAnsi="Times New Roman Regular" w:cs="Times New Roman Regular"/>
        </w:rPr>
      </w:pPr>
      <w:bookmarkStart w:id="52" w:name="_Toc77862707"/>
      <w:r>
        <w:rPr>
          <w:rFonts w:ascii="Times New Roman Regular" w:hAnsi="Times New Roman Regular" w:cs="Times New Roman Regular"/>
        </w:rPr>
        <w:t>强化</w:t>
      </w:r>
      <w:r w:rsidRPr="00993048">
        <w:t>PM</w:t>
      </w:r>
      <w:r w:rsidRPr="00993048">
        <w:rPr>
          <w:vertAlign w:val="subscript"/>
        </w:rPr>
        <w:t>2.5</w:t>
      </w:r>
      <w:r>
        <w:rPr>
          <w:rFonts w:ascii="Times New Roman Regular" w:hAnsi="Times New Roman Regular" w:cs="Times New Roman Regular"/>
        </w:rPr>
        <w:t>和</w:t>
      </w:r>
      <w:r w:rsidRPr="00993048">
        <w:t>O</w:t>
      </w:r>
      <w:r w:rsidRPr="00993048">
        <w:rPr>
          <w:vertAlign w:val="subscript"/>
        </w:rPr>
        <w:t>3</w:t>
      </w:r>
      <w:r>
        <w:rPr>
          <w:rFonts w:ascii="Times New Roman Regular" w:hAnsi="Times New Roman Regular" w:cs="Times New Roman Regular"/>
        </w:rPr>
        <w:t>协同治理</w:t>
      </w:r>
      <w:r>
        <w:rPr>
          <w:rFonts w:ascii="Times New Roman Regular" w:hAnsi="Times New Roman Regular" w:cs="Times New Roman Regular"/>
        </w:rPr>
        <w:t xml:space="preserve"> </w:t>
      </w:r>
      <w:r>
        <w:rPr>
          <w:rFonts w:ascii="Times New Roman Regular" w:hAnsi="Times New Roman Regular" w:cs="Times New Roman Regular"/>
        </w:rPr>
        <w:t>持续提升空气质量</w:t>
      </w:r>
      <w:bookmarkEnd w:id="52"/>
    </w:p>
    <w:p w:rsidR="00B373FD">
      <w:pPr>
        <w:pStyle w:val="Heading3"/>
        <w:numPr>
          <w:ilvl w:val="2"/>
          <w:numId w:val="4"/>
        </w:numPr>
        <w:rPr>
          <w:rFonts w:ascii="Times New Roman Regular" w:hAnsi="Times New Roman Regular" w:cs="Times New Roman Regular"/>
        </w:rPr>
      </w:pPr>
      <w:r>
        <w:rPr>
          <w:rFonts w:ascii="Times New Roman Regular" w:hAnsi="Times New Roman Regular" w:cs="Times New Roman Regular"/>
        </w:rPr>
        <w:t>推进城市大气环境质量达标</w:t>
      </w:r>
    </w:p>
    <w:p w:rsidR="00B373FD" w:rsidRPr="00D2586B" w:rsidP="00D2586B">
      <w:pPr>
        <w:ind w:firstLine="640" w:firstLineChars="200"/>
        <w:rPr>
          <w:rFonts w:ascii="Times New Roman Regular" w:hAnsi="Times New Roman Regular" w:cs="Times New Roman Regular"/>
          <w:szCs w:val="32"/>
          <w:lang w:val="zh-CN"/>
        </w:rPr>
      </w:pPr>
      <w:r>
        <w:rPr>
          <w:szCs w:val="32"/>
          <w:lang w:val="zh-CN"/>
        </w:rPr>
        <w:t>以持续改善大气环境质量为导向，突出抓好重点时段细颗粒物（</w:t>
      </w:r>
      <w:r>
        <w:rPr>
          <w:szCs w:val="32"/>
          <w:lang w:val="zh-CN"/>
        </w:rPr>
        <w:t>PM</w:t>
      </w:r>
      <w:r>
        <w:rPr>
          <w:szCs w:val="32"/>
          <w:vertAlign w:val="subscript"/>
          <w:lang w:val="zh-CN"/>
        </w:rPr>
        <w:t>2.5</w:t>
      </w:r>
      <w:r>
        <w:rPr>
          <w:szCs w:val="32"/>
          <w:lang w:val="zh-CN"/>
        </w:rPr>
        <w:t>）和臭氧（</w:t>
      </w:r>
      <w:r>
        <w:rPr>
          <w:szCs w:val="32"/>
          <w:lang w:val="zh-CN"/>
        </w:rPr>
        <w:t>O</w:t>
      </w:r>
      <w:r>
        <w:rPr>
          <w:szCs w:val="32"/>
          <w:vertAlign w:val="subscript"/>
          <w:lang w:val="zh-CN"/>
        </w:rPr>
        <w:t>3</w:t>
      </w:r>
      <w:r>
        <w:rPr>
          <w:szCs w:val="32"/>
          <w:lang w:val="zh-CN"/>
        </w:rPr>
        <w:t>）协同控制，强化点源、交通源、城市面源污染综合治理，围绕空气质量提升目标</w:t>
      </w:r>
      <w:r>
        <w:rPr>
          <w:szCs w:val="32"/>
          <w:lang w:val="zh-CN"/>
        </w:rPr>
        <w:t>,</w:t>
      </w:r>
      <w:r>
        <w:rPr>
          <w:szCs w:val="32"/>
          <w:lang w:val="zh-CN"/>
        </w:rPr>
        <w:t>制定实施空气质量达标规划或提升计划，采取有效措施，保持和提升大气环境质量。到</w:t>
      </w:r>
      <w:r>
        <w:rPr>
          <w:szCs w:val="32"/>
          <w:lang w:val="zh-CN"/>
        </w:rPr>
        <w:t>2025</w:t>
      </w:r>
      <w:r>
        <w:rPr>
          <w:szCs w:val="32"/>
          <w:lang w:val="zh-CN"/>
        </w:rPr>
        <w:t>年，全市空气质量优良天数比例达到</w:t>
      </w:r>
      <w:r>
        <w:rPr>
          <w:szCs w:val="32"/>
          <w:lang w:val="zh-CN"/>
        </w:rPr>
        <w:t>86%</w:t>
      </w:r>
      <w:r>
        <w:rPr>
          <w:szCs w:val="32"/>
          <w:lang w:val="zh-CN"/>
        </w:rPr>
        <w:t>以上，基本消除重度及以上污染天气，</w:t>
      </w:r>
      <w:r>
        <w:rPr>
          <w:szCs w:val="32"/>
          <w:lang w:val="zh-CN"/>
        </w:rPr>
        <w:t>PM</w:t>
      </w:r>
      <w:r>
        <w:rPr>
          <w:szCs w:val="32"/>
          <w:vertAlign w:val="subscript"/>
          <w:lang w:val="zh-CN"/>
        </w:rPr>
        <w:t>2.5</w:t>
      </w:r>
      <w:r>
        <w:rPr>
          <w:szCs w:val="32"/>
          <w:lang w:val="zh-CN"/>
        </w:rPr>
        <w:t>年均浓度力争达到</w:t>
      </w:r>
      <w:r>
        <w:rPr>
          <w:szCs w:val="32"/>
          <w:lang w:val="zh-CN"/>
        </w:rPr>
        <w:t>25</w:t>
      </w:r>
      <w:r>
        <w:rPr>
          <w:szCs w:val="32"/>
          <w:lang w:val="zh-CN"/>
        </w:rPr>
        <w:t>微克</w:t>
      </w:r>
      <w:r>
        <w:rPr>
          <w:szCs w:val="32"/>
          <w:lang w:val="zh-CN"/>
        </w:rPr>
        <w:t>/</w:t>
      </w:r>
      <w:r>
        <w:rPr>
          <w:szCs w:val="32"/>
          <w:lang w:val="zh-CN"/>
        </w:rPr>
        <w:t>立方米，臭氧污染得到明显改善，</w:t>
      </w:r>
      <w:r>
        <w:rPr>
          <w:rFonts w:hint="eastAsia"/>
          <w:szCs w:val="32"/>
          <w:lang w:val="zh-CN"/>
        </w:rPr>
        <w:t>完成</w:t>
      </w:r>
      <w:r>
        <w:rPr>
          <w:szCs w:val="32"/>
          <w:lang w:val="zh-CN"/>
        </w:rPr>
        <w:t>苏州下达的指标任务</w:t>
      </w:r>
      <w:r w:rsidRPr="00D2586B" w:rsidR="00C82635">
        <w:rPr>
          <w:rFonts w:ascii="Times New Roman Regular" w:hAnsi="Times New Roman Regular" w:cs="Times New Roman Regular"/>
          <w:szCs w:val="32"/>
          <w:lang w:val="zh-CN"/>
        </w:rPr>
        <w:t>。</w:t>
      </w:r>
    </w:p>
    <w:p w:rsidR="00B373FD">
      <w:pPr>
        <w:pStyle w:val="Heading3"/>
        <w:numPr>
          <w:ilvl w:val="2"/>
          <w:numId w:val="4"/>
        </w:numPr>
        <w:rPr>
          <w:rFonts w:ascii="Times New Roman Regular" w:hAnsi="Times New Roman Regular" w:cs="Times New Roman Regular"/>
        </w:rPr>
      </w:pPr>
      <w:r>
        <w:rPr>
          <w:rFonts w:ascii="Times New Roman Regular" w:hAnsi="Times New Roman Regular" w:cs="Times New Roman Regular"/>
        </w:rPr>
        <w:t>推进固定源废气治理</w:t>
      </w:r>
    </w:p>
    <w:p w:rsidR="00B373FD">
      <w:pPr>
        <w:ind w:firstLine="640" w:firstLineChars="200"/>
        <w:rPr>
          <w:rFonts w:ascii="Times New Roman Regular" w:hAnsi="Times New Roman Regular" w:cs="Times New Roman Regular"/>
          <w:szCs w:val="32"/>
          <w:lang w:val="zh-CN"/>
        </w:rPr>
      </w:pPr>
      <w:r>
        <w:rPr>
          <w:rFonts w:ascii="Times New Roman Regular" w:hAnsi="Times New Roman Regular" w:cs="Times New Roman Regular"/>
          <w:b/>
          <w:szCs w:val="32"/>
        </w:rPr>
        <w:t>推进电力行业稳定达标。</w:t>
      </w:r>
      <w:r>
        <w:rPr>
          <w:rFonts w:ascii="Times New Roman Regular" w:hAnsi="Times New Roman Regular" w:cs="Times New Roman Regular"/>
          <w:szCs w:val="32"/>
          <w:lang w:val="zh-CN"/>
        </w:rPr>
        <w:t>严格执行国家、省电力行业大气污染物排放标准，组织专家对电厂特别是自备电厂在线监控设备规范化管理、超低排放稳定运行等环节开展现场评估，提升企业管理水平，确保电力行业稳定达标排放。</w:t>
      </w:r>
    </w:p>
    <w:p w:rsidR="00B373FD">
      <w:pPr>
        <w:ind w:firstLine="640" w:firstLineChars="200"/>
        <w:rPr>
          <w:rFonts w:ascii="Times New Roman Regular" w:hAnsi="Times New Roman Regular" w:cs="Times New Roman Regular"/>
          <w:szCs w:val="32"/>
          <w:lang w:val="zh-CN"/>
        </w:rPr>
      </w:pPr>
      <w:r>
        <w:rPr>
          <w:rFonts w:ascii="Times New Roman Regular" w:hAnsi="Times New Roman Regular" w:cs="Times New Roman Regular"/>
          <w:b/>
          <w:szCs w:val="32"/>
        </w:rPr>
        <w:t>推进非电力行业深度治理。</w:t>
      </w:r>
      <w:r>
        <w:rPr>
          <w:rFonts w:ascii="Times New Roman Regular" w:hAnsi="Times New Roman Regular" w:cs="Times New Roman Regular"/>
          <w:szCs w:val="32"/>
          <w:lang w:val="zh-CN"/>
        </w:rPr>
        <w:t>实行氮氧化物深度减排和超低排放改造，强化工业污染全过程控制，实施全行业全要素达标排放。对大气污染排放重点行业企业及锅炉采用污染防</w:t>
      </w:r>
      <w:r>
        <w:rPr>
          <w:rFonts w:ascii="Times New Roman Regular" w:hAnsi="Times New Roman Regular" w:cs="Times New Roman Regular"/>
          <w:szCs w:val="32"/>
          <w:lang w:val="zh-CN"/>
        </w:rPr>
        <w:t>治先进可行技术，使重点大气污染物排放浓度达到国家、省、市的超低排放要求。</w:t>
      </w:r>
    </w:p>
    <w:p w:rsidR="00B373FD">
      <w:pPr>
        <w:ind w:firstLine="640" w:firstLineChars="200"/>
        <w:rPr>
          <w:rFonts w:ascii="Times New Roman Regular" w:hAnsi="Times New Roman Regular" w:cs="Times New Roman Regular"/>
          <w:szCs w:val="32"/>
        </w:rPr>
      </w:pPr>
      <w:r>
        <w:rPr>
          <w:rFonts w:ascii="Times New Roman Regular" w:hAnsi="Times New Roman Regular" w:cs="Times New Roman Regular"/>
          <w:b/>
          <w:szCs w:val="32"/>
        </w:rPr>
        <w:t>深入实施工业窑炉综合整治</w:t>
      </w:r>
      <w:r>
        <w:rPr>
          <w:rFonts w:ascii="Times New Roman Regular" w:hAnsi="Times New Roman Regular" w:cs="Times New Roman Regular"/>
          <w:szCs w:val="32"/>
        </w:rPr>
        <w:t>。</w:t>
      </w:r>
      <w:r>
        <w:rPr>
          <w:rFonts w:ascii="Times New Roman Regular" w:hAnsi="Times New Roman Regular" w:cs="Times New Roman Regular"/>
          <w:szCs w:val="32"/>
          <w:lang w:val="zh-CN"/>
        </w:rPr>
        <w:t>坚持</w:t>
      </w:r>
      <w:r>
        <w:rPr>
          <w:rFonts w:ascii="Times New Roman Regular" w:hAnsi="Times New Roman Regular" w:cs="Times New Roman Regular"/>
          <w:szCs w:val="32"/>
          <w:lang w:val="zh-CN"/>
        </w:rPr>
        <w:t>“</w:t>
      </w:r>
      <w:r>
        <w:rPr>
          <w:rFonts w:ascii="Times New Roman Regular" w:hAnsi="Times New Roman Regular" w:cs="Times New Roman Regular"/>
          <w:szCs w:val="32"/>
          <w:lang w:val="zh-CN"/>
        </w:rPr>
        <w:t>突出重点、分类施策</w:t>
      </w:r>
      <w:r>
        <w:rPr>
          <w:rFonts w:ascii="Times New Roman Regular" w:hAnsi="Times New Roman Regular" w:cs="Times New Roman Regular"/>
          <w:szCs w:val="32"/>
          <w:lang w:val="zh-CN"/>
        </w:rPr>
        <w:t>”</w:t>
      </w:r>
      <w:r>
        <w:rPr>
          <w:rFonts w:ascii="Times New Roman Regular" w:hAnsi="Times New Roman Regular" w:cs="Times New Roman Regular"/>
          <w:szCs w:val="32"/>
          <w:lang w:val="zh-CN"/>
        </w:rPr>
        <w:t>推动工业窑炉深度治理，对启动超低排放改造以外的重点涉工业炉窑行业，通过工艺治理提标以及清洁低碳能源、工厂余热、热力替代等方式，实现有组织排放全面达标、无组织排放有效管控、全过程精细化监管。</w:t>
      </w:r>
    </w:p>
    <w:p w:rsidR="00B373FD">
      <w:pPr>
        <w:pStyle w:val="Heading3"/>
        <w:numPr>
          <w:ilvl w:val="2"/>
          <w:numId w:val="4"/>
        </w:numPr>
        <w:rPr>
          <w:rFonts w:ascii="Times New Roman Regular" w:hAnsi="Times New Roman Regular" w:cs="Times New Roman Regular"/>
        </w:rPr>
      </w:pPr>
      <w:r>
        <w:rPr>
          <w:rFonts w:ascii="Times New Roman Regular" w:hAnsi="Times New Roman Regular" w:cs="Times New Roman Regular"/>
        </w:rPr>
        <w:t>加大挥发性有机污染物治理</w:t>
      </w:r>
    </w:p>
    <w:p w:rsidR="00B373FD" w:rsidRPr="00D2586B" w:rsidP="00D2586B">
      <w:pPr>
        <w:ind w:firstLine="640" w:firstLineChars="200"/>
        <w:rPr>
          <w:rFonts w:ascii="Times New Roman Regular" w:hAnsi="Times New Roman Regular" w:cs="Times New Roman Regular"/>
          <w:szCs w:val="32"/>
        </w:rPr>
      </w:pPr>
      <w:r>
        <w:rPr>
          <w:rFonts w:ascii="Times New Roman Regular" w:hAnsi="Times New Roman Regular" w:cs="Times New Roman Regular"/>
          <w:b/>
          <w:szCs w:val="32"/>
        </w:rPr>
        <w:t>加大源头替代力度。</w:t>
      </w:r>
      <w:r w:rsidRPr="00D2586B">
        <w:rPr>
          <w:rFonts w:ascii="Times New Roman Regular" w:hAnsi="Times New Roman Regular" w:cs="Times New Roman Regular"/>
          <w:szCs w:val="32"/>
        </w:rPr>
        <w:t>按照国家、省清洁原料替代要求，持续推进使用低</w:t>
      </w:r>
      <w:r w:rsidRPr="00D2586B">
        <w:rPr>
          <w:rFonts w:ascii="Times New Roman Regular" w:hAnsi="Times New Roman Regular" w:cs="Times New Roman Regular"/>
          <w:szCs w:val="32"/>
        </w:rPr>
        <w:t>VOCs</w:t>
      </w:r>
      <w:r w:rsidRPr="00D2586B">
        <w:rPr>
          <w:rFonts w:ascii="Times New Roman Regular" w:hAnsi="Times New Roman Regular" w:cs="Times New Roman Regular"/>
          <w:szCs w:val="32"/>
        </w:rPr>
        <w:t>含量的涂料、油墨、胶粘剂、清洗剂和其他低（无）</w:t>
      </w:r>
      <w:r w:rsidRPr="00D2586B">
        <w:rPr>
          <w:rFonts w:ascii="Times New Roman Regular" w:hAnsi="Times New Roman Regular" w:cs="Times New Roman Regular"/>
          <w:szCs w:val="32"/>
        </w:rPr>
        <w:t>VOCs</w:t>
      </w:r>
      <w:r w:rsidRPr="00D2586B">
        <w:rPr>
          <w:rFonts w:ascii="Times New Roman Regular" w:hAnsi="Times New Roman Regular" w:cs="Times New Roman Regular"/>
          <w:szCs w:val="32"/>
        </w:rPr>
        <w:t>含量、低反应活性的原辅材料，从源头减少</w:t>
      </w:r>
      <w:r w:rsidRPr="00D2586B">
        <w:rPr>
          <w:rFonts w:ascii="Times New Roman Regular" w:hAnsi="Times New Roman Regular" w:cs="Times New Roman Regular"/>
          <w:szCs w:val="32"/>
        </w:rPr>
        <w:t>VOCs</w:t>
      </w:r>
      <w:r w:rsidRPr="00D2586B">
        <w:rPr>
          <w:rFonts w:ascii="Times New Roman Regular" w:hAnsi="Times New Roman Regular" w:cs="Times New Roman Regular"/>
          <w:szCs w:val="32"/>
        </w:rPr>
        <w:t>产生。</w:t>
      </w:r>
    </w:p>
    <w:p w:rsidR="00B373FD">
      <w:pPr>
        <w:ind w:firstLine="640" w:firstLineChars="200"/>
        <w:rPr>
          <w:rFonts w:ascii="Times New Roman Regular" w:hAnsi="Times New Roman Regular" w:cs="Times New Roman Regular"/>
          <w:szCs w:val="32"/>
          <w:lang w:val="zh-CN"/>
        </w:rPr>
      </w:pPr>
      <w:r>
        <w:rPr>
          <w:rFonts w:ascii="Times New Roman Regular" w:hAnsi="Times New Roman Regular" w:cs="Times New Roman Regular"/>
          <w:b/>
          <w:szCs w:val="32"/>
        </w:rPr>
        <w:t>强化无组织排放控制。</w:t>
      </w:r>
      <w:r>
        <w:rPr>
          <w:rFonts w:ascii="Times New Roman Regular" w:hAnsi="Times New Roman Regular" w:cs="Times New Roman Regular"/>
          <w:szCs w:val="32"/>
          <w:lang w:val="zh-CN"/>
        </w:rPr>
        <w:t>对企业含</w:t>
      </w:r>
      <w:r>
        <w:rPr>
          <w:rFonts w:ascii="Times New Roman Regular" w:hAnsi="Times New Roman Regular" w:cs="Times New Roman Regular"/>
          <w:szCs w:val="32"/>
          <w:lang w:val="zh-CN"/>
        </w:rPr>
        <w:t>VOCs</w:t>
      </w:r>
      <w:r>
        <w:rPr>
          <w:rFonts w:ascii="Times New Roman Regular" w:hAnsi="Times New Roman Regular" w:cs="Times New Roman Regular"/>
          <w:szCs w:val="32"/>
          <w:lang w:val="zh-CN"/>
        </w:rPr>
        <w:t>物料储存、转移和输送、设备与管线组件泄漏、敞开液面逸散以及工艺过程等五类排放源加强管理，有效削减</w:t>
      </w:r>
      <w:r>
        <w:rPr>
          <w:rFonts w:ascii="Times New Roman Regular" w:hAnsi="Times New Roman Regular" w:cs="Times New Roman Regular"/>
          <w:szCs w:val="32"/>
          <w:lang w:val="zh-CN"/>
        </w:rPr>
        <w:t>VOCs</w:t>
      </w:r>
      <w:r>
        <w:rPr>
          <w:rFonts w:ascii="Times New Roman Regular" w:hAnsi="Times New Roman Regular" w:cs="Times New Roman Regular"/>
          <w:szCs w:val="32"/>
          <w:lang w:val="zh-CN"/>
        </w:rPr>
        <w:t>无组织排放。按照</w:t>
      </w:r>
      <w:r>
        <w:rPr>
          <w:rFonts w:ascii="Times New Roman Regular" w:hAnsi="Times New Roman Regular" w:cs="Times New Roman Regular"/>
          <w:szCs w:val="32"/>
          <w:lang w:val="zh-CN"/>
        </w:rPr>
        <w:t>“</w:t>
      </w:r>
      <w:r>
        <w:rPr>
          <w:rFonts w:ascii="Times New Roman Regular" w:hAnsi="Times New Roman Regular" w:cs="Times New Roman Regular"/>
          <w:szCs w:val="32"/>
          <w:lang w:val="zh-CN"/>
        </w:rPr>
        <w:t>应收尽收、分质收集</w:t>
      </w:r>
      <w:r>
        <w:rPr>
          <w:rFonts w:ascii="Times New Roman Regular" w:hAnsi="Times New Roman Regular" w:cs="Times New Roman Regular"/>
          <w:szCs w:val="32"/>
          <w:lang w:val="zh-CN"/>
        </w:rPr>
        <w:t>”</w:t>
      </w:r>
      <w:r>
        <w:rPr>
          <w:rFonts w:ascii="Times New Roman Regular" w:hAnsi="Times New Roman Regular" w:cs="Times New Roman Regular"/>
          <w:szCs w:val="32"/>
          <w:lang w:val="zh-CN"/>
        </w:rPr>
        <w:t>的原则，优先采用密闭集气罩收集废气，提高废气收集率。加强非正常工况排放控制，规范化工装置开停工及维检修流程。指导企业制定</w:t>
      </w:r>
      <w:r>
        <w:rPr>
          <w:rFonts w:ascii="Times New Roman Regular" w:hAnsi="Times New Roman Regular" w:cs="Times New Roman Regular"/>
          <w:szCs w:val="32"/>
          <w:lang w:val="zh-CN"/>
        </w:rPr>
        <w:t>VOCs</w:t>
      </w:r>
      <w:r>
        <w:rPr>
          <w:rFonts w:ascii="Times New Roman Regular" w:hAnsi="Times New Roman Regular" w:cs="Times New Roman Regular"/>
          <w:szCs w:val="32"/>
          <w:lang w:val="zh-CN"/>
        </w:rPr>
        <w:t>无组织排放控制规程，定期开展泄漏检测与修复（</w:t>
      </w:r>
      <w:r>
        <w:rPr>
          <w:rFonts w:ascii="Times New Roman Regular" w:hAnsi="Times New Roman Regular" w:cs="Times New Roman Regular"/>
          <w:szCs w:val="32"/>
          <w:lang w:val="zh-CN"/>
        </w:rPr>
        <w:t>LDAR</w:t>
      </w:r>
      <w:r>
        <w:rPr>
          <w:rFonts w:ascii="Times New Roman Regular" w:hAnsi="Times New Roman Regular" w:cs="Times New Roman Regular"/>
          <w:szCs w:val="32"/>
          <w:lang w:val="zh-CN"/>
        </w:rPr>
        <w:t>）工作，及时修复泄漏源。</w:t>
      </w:r>
    </w:p>
    <w:p w:rsidR="00B373FD">
      <w:pPr>
        <w:ind w:firstLine="640" w:firstLineChars="200"/>
        <w:rPr>
          <w:rFonts w:ascii="Times New Roman Regular" w:hAnsi="Times New Roman Regular" w:cs="Times New Roman Regular"/>
          <w:szCs w:val="32"/>
          <w:lang w:val="zh-CN"/>
        </w:rPr>
      </w:pPr>
      <w:r>
        <w:rPr>
          <w:rFonts w:ascii="Times New Roman Regular" w:hAnsi="Times New Roman Regular" w:cs="Times New Roman Regular"/>
          <w:b/>
          <w:szCs w:val="32"/>
        </w:rPr>
        <w:t>深入实施精细化管控。</w:t>
      </w:r>
      <w:r>
        <w:rPr>
          <w:rFonts w:ascii="Times New Roman Regular" w:hAnsi="Times New Roman Regular" w:cs="Times New Roman Regular"/>
          <w:szCs w:val="32"/>
          <w:lang w:val="zh-CN"/>
        </w:rPr>
        <w:t>实施基于活性的</w:t>
      </w:r>
      <w:r>
        <w:rPr>
          <w:rFonts w:ascii="Times New Roman Regular" w:hAnsi="Times New Roman Regular" w:cs="Times New Roman Regular"/>
          <w:szCs w:val="32"/>
          <w:lang w:val="zh-CN"/>
        </w:rPr>
        <w:t>VOCs</w:t>
      </w:r>
      <w:r>
        <w:rPr>
          <w:rFonts w:ascii="Times New Roman Regular" w:hAnsi="Times New Roman Regular" w:cs="Times New Roman Regular"/>
          <w:szCs w:val="32"/>
          <w:lang w:val="zh-CN"/>
        </w:rPr>
        <w:t>减排策略，系统摸排辖区内</w:t>
      </w:r>
      <w:r>
        <w:rPr>
          <w:rFonts w:ascii="Times New Roman Regular" w:hAnsi="Times New Roman Regular" w:cs="Times New Roman Regular"/>
          <w:bCs/>
          <w:color w:val="000000"/>
          <w:kern w:val="0"/>
          <w:szCs w:val="32"/>
        </w:rPr>
        <w:t>臭氧生成潜势较大</w:t>
      </w:r>
      <w:r>
        <w:rPr>
          <w:rFonts w:ascii="Times New Roman Regular" w:hAnsi="Times New Roman Regular" w:cs="Times New Roman Regular"/>
          <w:szCs w:val="32"/>
          <w:lang w:val="zh-CN"/>
        </w:rPr>
        <w:t>的企业和生产工序，加大对工业涂装、有机化工、电子、石化、塑料橡胶制品及其他对臭氧生成贡献突出行业监管力度。深化园区和产业集聚区</w:t>
      </w:r>
      <w:r>
        <w:rPr>
          <w:rFonts w:ascii="Times New Roman Regular" w:hAnsi="Times New Roman Regular" w:cs="Times New Roman Regular"/>
          <w:szCs w:val="32"/>
          <w:lang w:val="zh-CN"/>
        </w:rPr>
        <w:t>VOCs</w:t>
      </w:r>
      <w:r>
        <w:rPr>
          <w:rFonts w:ascii="Times New Roman Regular" w:hAnsi="Times New Roman Regular" w:cs="Times New Roman Regular"/>
          <w:szCs w:val="32"/>
          <w:lang w:val="zh-CN"/>
        </w:rPr>
        <w:t>整治，</w:t>
      </w:r>
      <w:r>
        <w:rPr>
          <w:rFonts w:ascii="Times New Roman Regular" w:hAnsi="Times New Roman Regular" w:cs="Times New Roman Regular"/>
          <w:bCs/>
          <w:color w:val="000000"/>
          <w:kern w:val="0"/>
          <w:szCs w:val="32"/>
        </w:rPr>
        <w:t>逐步取消石化、化工、工业涂装、包装印刷等企业非必要废气排放系统旁路。</w:t>
      </w:r>
      <w:r>
        <w:rPr>
          <w:rFonts w:ascii="Times New Roman Regular" w:hAnsi="Times New Roman Regular" w:cs="Times New Roman Regular"/>
          <w:szCs w:val="32"/>
          <w:lang w:val="zh-CN"/>
        </w:rPr>
        <w:t>推进工业园区和企业集群建设</w:t>
      </w:r>
      <w:r>
        <w:rPr>
          <w:rFonts w:ascii="Times New Roman Regular" w:hAnsi="Times New Roman Regular" w:cs="Times New Roman Regular"/>
          <w:szCs w:val="32"/>
          <w:lang w:val="zh-CN"/>
        </w:rPr>
        <w:t>VOCs“</w:t>
      </w:r>
      <w:r>
        <w:rPr>
          <w:rFonts w:ascii="Times New Roman Regular" w:hAnsi="Times New Roman Regular" w:cs="Times New Roman Regular"/>
          <w:szCs w:val="32"/>
          <w:lang w:val="zh-CN"/>
        </w:rPr>
        <w:t>绿岛</w:t>
      </w:r>
      <w:r>
        <w:rPr>
          <w:rFonts w:ascii="Times New Roman Regular" w:hAnsi="Times New Roman Regular" w:cs="Times New Roman Regular"/>
          <w:szCs w:val="32"/>
          <w:lang w:val="zh-CN"/>
        </w:rPr>
        <w:t>”</w:t>
      </w:r>
      <w:r>
        <w:rPr>
          <w:rFonts w:ascii="Times New Roman Regular" w:hAnsi="Times New Roman Regular" w:cs="Times New Roman Regular"/>
          <w:szCs w:val="32"/>
          <w:lang w:val="zh-CN"/>
        </w:rPr>
        <w:t>项目，实现</w:t>
      </w:r>
      <w:r>
        <w:rPr>
          <w:rFonts w:ascii="Times New Roman Regular" w:hAnsi="Times New Roman Regular" w:cs="Times New Roman Regular"/>
          <w:szCs w:val="32"/>
          <w:lang w:val="zh-CN"/>
        </w:rPr>
        <w:t>VOCs</w:t>
      </w:r>
      <w:r>
        <w:rPr>
          <w:rFonts w:ascii="Times New Roman Regular" w:hAnsi="Times New Roman Regular" w:cs="Times New Roman Regular"/>
          <w:szCs w:val="32"/>
          <w:lang w:val="zh-CN"/>
        </w:rPr>
        <w:t>集中高效处理，推进全市疑似储罐排查，加快推动治理。开展活性炭提质增效专项行动，提升企业活性炭治理效率。</w:t>
      </w:r>
    </w:p>
    <w:p w:rsidR="00B373FD">
      <w:pPr>
        <w:pStyle w:val="Heading3"/>
        <w:numPr>
          <w:ilvl w:val="2"/>
          <w:numId w:val="4"/>
        </w:numPr>
        <w:rPr>
          <w:rFonts w:ascii="Times New Roman Regular" w:hAnsi="Times New Roman Regular" w:cs="Times New Roman Regular"/>
        </w:rPr>
      </w:pPr>
      <w:r>
        <w:rPr>
          <w:rFonts w:ascii="Times New Roman Regular" w:hAnsi="Times New Roman Regular" w:cs="Times New Roman Regular"/>
        </w:rPr>
        <w:t>强化移动源污染防治</w:t>
      </w:r>
    </w:p>
    <w:p w:rsidR="00B373FD" w:rsidRPr="00D2586B" w:rsidP="00D2586B">
      <w:pPr>
        <w:ind w:firstLine="640" w:firstLineChars="200"/>
        <w:rPr>
          <w:rFonts w:ascii="Times New Roman Regular" w:hAnsi="Times New Roman Regular" w:cs="Times New Roman Regular"/>
          <w:szCs w:val="32"/>
          <w:lang w:val="zh-CN"/>
        </w:rPr>
      </w:pPr>
      <w:r w:rsidRPr="00D2586B">
        <w:rPr>
          <w:rFonts w:ascii="Times New Roman Regular" w:hAnsi="Times New Roman Regular" w:cs="Times New Roman Regular"/>
          <w:b/>
          <w:szCs w:val="32"/>
          <w:lang w:val="zh-CN"/>
        </w:rPr>
        <w:t>加快机动车结构升级。</w:t>
      </w:r>
      <w:r w:rsidRPr="00D2586B">
        <w:rPr>
          <w:rFonts w:ascii="Times New Roman Regular" w:hAnsi="Times New Roman Regular" w:cs="Times New Roman Regular"/>
          <w:szCs w:val="32"/>
          <w:lang w:val="zh-CN"/>
        </w:rPr>
        <w:t>严格落实《报废机动车回收管理办法》。出台扩大高排放非道路移动机械禁用区政策，持续推进淘汰国三及以下排放标准的营运柴油货车，国三及以下柴油货车市区实施全天候限行，强化限行区管理。全面淘汰国三及以下排放标准的柴油环卫车。建设用车大户门禁系统管理平台，推进首批重点用车大户安装门禁系统，实时监控车辆运行情况，持续开展柴油车排放路查路检，倒逼高污染车辆淘汰。城市建成区新增和更新的公交车辆基本采用新能源或清洁能源汽车。</w:t>
      </w:r>
    </w:p>
    <w:p w:rsidR="00A4184E" w:rsidP="00A4184E">
      <w:pPr>
        <w:ind w:firstLine="640" w:firstLineChars="200"/>
        <w:rPr>
          <w:b/>
          <w:bCs/>
          <w:szCs w:val="32"/>
          <w:lang w:val="zh-CN"/>
        </w:rPr>
      </w:pPr>
      <w:r>
        <w:rPr>
          <w:b/>
          <w:bCs/>
          <w:szCs w:val="32"/>
          <w:lang w:val="zh-CN"/>
        </w:rPr>
        <w:t>加强船舶和非道路移动机械污染防治。</w:t>
      </w:r>
      <w:r>
        <w:rPr>
          <w:rFonts w:hint="eastAsia"/>
          <w:szCs w:val="32"/>
          <w:lang w:val="zh-CN"/>
        </w:rPr>
        <w:t>推广应用新能源、清洁能源车船，</w:t>
      </w:r>
      <w:bookmarkStart w:id="53" w:name="_Hlk63768105"/>
      <w:r>
        <w:rPr>
          <w:rFonts w:hint="eastAsia"/>
          <w:szCs w:val="32"/>
          <w:lang w:val="zh-CN"/>
        </w:rPr>
        <w:t>除液货船外的所有新建且设置发电机组为主电源的自航船舶应具备船舶岸电系统船载装置，</w:t>
      </w:r>
      <w:bookmarkEnd w:id="53"/>
      <w:r>
        <w:rPr>
          <w:rFonts w:hint="eastAsia"/>
          <w:szCs w:val="32"/>
          <w:lang w:val="zh-CN"/>
        </w:rPr>
        <w:t>制定港口登记船舶受电设施改造计划，积极推进港口登记船舶受电设施改造。新造原油、汽油、石脑油等油船应具备油气回收条件，逐步推进港口登记油船的油气回收改造，推广使用岸电。</w:t>
      </w:r>
    </w:p>
    <w:p w:rsidR="00B373FD">
      <w:pPr>
        <w:ind w:firstLine="640" w:firstLineChars="200"/>
        <w:rPr>
          <w:rFonts w:ascii="Times New Roman Regular" w:hAnsi="Times New Roman Regular" w:cs="Times New Roman Regular"/>
          <w:lang w:val="zh-CN"/>
        </w:rPr>
      </w:pPr>
      <w:r>
        <w:rPr>
          <w:rFonts w:ascii="Times New Roman Regular" w:hAnsi="Times New Roman Regular" w:cs="Times New Roman Regular"/>
          <w:b/>
          <w:bCs/>
          <w:szCs w:val="32"/>
          <w:lang w:val="zh-CN"/>
        </w:rPr>
        <w:t>推进油气回收在线监控建设。</w:t>
      </w:r>
      <w:r w:rsidRPr="006E201C" w:rsidR="006E201C">
        <w:rPr>
          <w:rFonts w:ascii="Times New Roman Regular" w:hAnsi="Times New Roman Regular" w:cs="Times New Roman Regular"/>
          <w:bCs/>
          <w:szCs w:val="32"/>
          <w:lang w:val="zh-CN"/>
        </w:rPr>
        <w:t>持续</w:t>
      </w:r>
      <w:r>
        <w:rPr>
          <w:rFonts w:ascii="Times New Roman Regular" w:hAnsi="Times New Roman Regular" w:cs="Times New Roman Regular"/>
          <w:szCs w:val="32"/>
          <w:lang w:val="zh-CN"/>
        </w:rPr>
        <w:t>开展加油站、储油库油气回收设施检查。</w:t>
      </w:r>
      <w:r w:rsidR="006E201C">
        <w:rPr>
          <w:rFonts w:ascii="Times New Roman Regular" w:hAnsi="Times New Roman Regular" w:cs="Times New Roman Regular"/>
          <w:szCs w:val="32"/>
          <w:lang w:val="zh-CN"/>
        </w:rPr>
        <w:t>完成储油库油气回收在线监控建设，并与生态环境部门联网</w:t>
      </w:r>
      <w:r w:rsidRPr="006E201C" w:rsidR="006E201C">
        <w:rPr>
          <w:rFonts w:ascii="Times New Roman Regular" w:hAnsi="Times New Roman Regular" w:cs="Times New Roman Regular" w:hint="eastAsia"/>
          <w:szCs w:val="32"/>
          <w:lang w:val="zh-CN"/>
        </w:rPr>
        <w:t>，确保全市</w:t>
      </w:r>
      <w:r w:rsidRPr="006E201C">
        <w:rPr>
          <w:rFonts w:ascii="Times New Roman Regular" w:hAnsi="Times New Roman Regular" w:cs="Times New Roman Regular"/>
          <w:szCs w:val="32"/>
          <w:lang w:val="zh-CN"/>
        </w:rPr>
        <w:t>12</w:t>
      </w:r>
      <w:r w:rsidRPr="006E201C">
        <w:rPr>
          <w:rFonts w:ascii="Times New Roman Regular" w:hAnsi="Times New Roman Regular" w:cs="Times New Roman Regular" w:hint="eastAsia"/>
          <w:szCs w:val="32"/>
          <w:lang w:val="zh-CN"/>
        </w:rPr>
        <w:t>座年销量</w:t>
      </w:r>
      <w:r w:rsidRPr="006E201C">
        <w:rPr>
          <w:rFonts w:ascii="Times New Roman Regular" w:hAnsi="Times New Roman Regular" w:cs="Times New Roman Regular"/>
          <w:szCs w:val="32"/>
          <w:lang w:val="zh-CN"/>
        </w:rPr>
        <w:t>5000</w:t>
      </w:r>
      <w:r w:rsidRPr="006E201C">
        <w:rPr>
          <w:rFonts w:ascii="Times New Roman Regular" w:hAnsi="Times New Roman Regular" w:cs="Times New Roman Regular" w:hint="eastAsia"/>
          <w:szCs w:val="32"/>
          <w:lang w:val="zh-CN"/>
        </w:rPr>
        <w:t>吨以上加</w:t>
      </w:r>
      <w:r w:rsidRPr="006E201C">
        <w:rPr>
          <w:rFonts w:ascii="Times New Roman Regular" w:hAnsi="Times New Roman Regular" w:cs="Times New Roman Regular" w:hint="eastAsia"/>
          <w:szCs w:val="32"/>
          <w:lang w:val="zh-CN"/>
        </w:rPr>
        <w:t>油站在线监控联网数据合格率达</w:t>
      </w:r>
      <w:r w:rsidRPr="006E201C">
        <w:rPr>
          <w:rFonts w:ascii="Times New Roman Regular" w:hAnsi="Times New Roman Regular" w:cs="Times New Roman Regular"/>
          <w:szCs w:val="32"/>
          <w:lang w:val="zh-CN"/>
        </w:rPr>
        <w:t>95%</w:t>
      </w:r>
      <w:r w:rsidRPr="006E201C">
        <w:rPr>
          <w:rFonts w:ascii="Times New Roman Regular" w:hAnsi="Times New Roman Regular" w:cs="Times New Roman Regular" w:hint="eastAsia"/>
          <w:szCs w:val="32"/>
          <w:lang w:val="zh-CN"/>
        </w:rPr>
        <w:t>以上</w:t>
      </w:r>
      <w:r w:rsidRPr="006E201C">
        <w:rPr>
          <w:rFonts w:ascii="Times New Roman Regular" w:hAnsi="Times New Roman Regular" w:cs="Times New Roman Regular"/>
          <w:szCs w:val="32"/>
          <w:lang w:val="zh-CN"/>
        </w:rPr>
        <w:t>。</w:t>
      </w:r>
    </w:p>
    <w:p w:rsidR="00B373FD">
      <w:pPr>
        <w:pStyle w:val="Heading3"/>
        <w:numPr>
          <w:ilvl w:val="2"/>
          <w:numId w:val="4"/>
        </w:numPr>
        <w:rPr>
          <w:rFonts w:ascii="Times New Roman Regular" w:hAnsi="Times New Roman Regular" w:cs="Times New Roman Regular"/>
        </w:rPr>
      </w:pPr>
      <w:r>
        <w:rPr>
          <w:rFonts w:ascii="Times New Roman Regular" w:hAnsi="Times New Roman Regular" w:cs="Times New Roman Regular"/>
        </w:rPr>
        <w:t>加强城市面源污染控制</w:t>
      </w:r>
    </w:p>
    <w:p w:rsidR="00B373FD">
      <w:pPr>
        <w:adjustRightInd w:val="0"/>
        <w:snapToGrid w:val="0"/>
        <w:ind w:firstLine="640" w:firstLineChars="200"/>
        <w:rPr>
          <w:rFonts w:ascii="Times New Roman Regular" w:hAnsi="Times New Roman Regular" w:cs="Times New Roman Regular"/>
          <w:szCs w:val="32"/>
          <w:lang w:val="zh-CN"/>
        </w:rPr>
      </w:pPr>
      <w:r>
        <w:rPr>
          <w:rFonts w:ascii="Times New Roman Regular" w:hAnsi="Times New Roman Regular" w:cs="Times New Roman Regular"/>
          <w:b/>
          <w:color w:val="000000"/>
          <w:szCs w:val="32"/>
        </w:rPr>
        <w:t>加大扬尘精细化管控。</w:t>
      </w:r>
      <w:r w:rsidRPr="00BD2C1D" w:rsidR="00BD2C1D">
        <w:rPr>
          <w:rFonts w:ascii="Times New Roman Regular" w:hAnsi="Times New Roman Regular" w:cs="Times New Roman Regular" w:hint="eastAsia"/>
          <w:szCs w:val="32"/>
          <w:lang w:val="zh-CN"/>
        </w:rPr>
        <w:t>严控工地、道路、码头、堆场等重点区域扬尘污染。全面推行“绿色施工”，施工工地严格落实“六个百分百”制度，对扬尘防治检查评定不合格的建筑工地一律停工整治，施工裸土覆盖按《江苏省重污染天气建筑工地扬尘控制应急工作方案（试行）》要求执行。开展“清洁城市行动”，加强道路保洁。规范华能、国华、协鑫、玖龙四大电厂煤堆场扬尘防控，对煤堆场实施封闭改造。</w:t>
      </w:r>
    </w:p>
    <w:p w:rsidR="00B373FD">
      <w:pPr>
        <w:ind w:firstLine="640" w:firstLineChars="200"/>
        <w:rPr>
          <w:rFonts w:ascii="Times New Roman Regular" w:hAnsi="Times New Roman Regular" w:cs="Times New Roman Regular"/>
          <w:color w:val="000000"/>
          <w:szCs w:val="32"/>
        </w:rPr>
      </w:pPr>
      <w:r>
        <w:rPr>
          <w:rFonts w:ascii="Times New Roman Regular" w:hAnsi="Times New Roman Regular" w:cs="Times New Roman Regular"/>
          <w:b/>
          <w:color w:val="000000"/>
          <w:szCs w:val="32"/>
        </w:rPr>
        <w:t>提高餐饮油烟污染治理水平。</w:t>
      </w:r>
      <w:r>
        <w:rPr>
          <w:rFonts w:ascii="Times New Roman Regular" w:hAnsi="Times New Roman Regular" w:cs="Times New Roman Regular"/>
          <w:szCs w:val="32"/>
          <w:lang w:val="zh-CN"/>
        </w:rPr>
        <w:t>进一步排查辖区餐饮企业，确保油烟排放场所安装油烟净化设施、正常使用并定期清洗。持续开展露天烧烤专项整治行动，城市主次干道两侧、居民居住区以及公园、绿地除管护单位指定的烧烤区域外，全面禁止露天烧烤。</w:t>
      </w:r>
    </w:p>
    <w:p w:rsidR="00B373FD">
      <w:pPr>
        <w:pStyle w:val="Heading3"/>
        <w:numPr>
          <w:ilvl w:val="2"/>
          <w:numId w:val="4"/>
        </w:numPr>
        <w:rPr>
          <w:rFonts w:ascii="Times New Roman Regular" w:hAnsi="Times New Roman Regular" w:cs="Times New Roman Regular"/>
        </w:rPr>
      </w:pPr>
      <w:bookmarkStart w:id="54" w:name="_Toc57239625"/>
      <w:r>
        <w:rPr>
          <w:rFonts w:ascii="Times New Roman Regular" w:hAnsi="Times New Roman Regular" w:cs="Times New Roman Regular"/>
        </w:rPr>
        <w:t>提升重污染天气应对</w:t>
      </w:r>
      <w:bookmarkEnd w:id="54"/>
      <w:r>
        <w:rPr>
          <w:rFonts w:ascii="Times New Roman Regular" w:hAnsi="Times New Roman Regular" w:cs="Times New Roman Regular"/>
        </w:rPr>
        <w:t>水平</w:t>
      </w:r>
    </w:p>
    <w:p w:rsidR="00B373FD">
      <w:pPr>
        <w:spacing w:line="540" w:lineRule="exact"/>
        <w:ind w:firstLine="640" w:firstLineChars="200"/>
        <w:rPr>
          <w:rFonts w:ascii="Times New Roman Regular" w:hAnsi="Times New Roman Regular" w:cs="Times New Roman Regular"/>
          <w:color w:val="000000"/>
          <w:szCs w:val="32"/>
        </w:rPr>
      </w:pPr>
      <w:r>
        <w:rPr>
          <w:rFonts w:ascii="Times New Roman Regular" w:hAnsi="Times New Roman Regular" w:cs="Times New Roman Regular"/>
          <w:color w:val="000000"/>
          <w:szCs w:val="32"/>
        </w:rPr>
        <w:t>持续完善重污染天气监测预警机制，适时修订重污染天气应急预案，细化提升限产限排等应急管控清单，强化区域应急联动。严格落实</w:t>
      </w:r>
      <w:r>
        <w:rPr>
          <w:rFonts w:ascii="Times New Roman Regular" w:hAnsi="Times New Roman Regular" w:cs="Times New Roman Regular"/>
          <w:color w:val="000000"/>
          <w:szCs w:val="32"/>
        </w:rPr>
        <w:t>“</w:t>
      </w:r>
      <w:r>
        <w:rPr>
          <w:rFonts w:ascii="Times New Roman Regular" w:hAnsi="Times New Roman Regular" w:cs="Times New Roman Regular"/>
          <w:color w:val="000000"/>
          <w:szCs w:val="32"/>
        </w:rPr>
        <w:t>省级预警、市县响应</w:t>
      </w:r>
      <w:r>
        <w:rPr>
          <w:rFonts w:ascii="Times New Roman Regular" w:hAnsi="Times New Roman Regular" w:cs="Times New Roman Regular"/>
          <w:color w:val="000000"/>
          <w:szCs w:val="32"/>
        </w:rPr>
        <w:t>”</w:t>
      </w:r>
      <w:r>
        <w:rPr>
          <w:rFonts w:ascii="Times New Roman Regular" w:hAnsi="Times New Roman Regular" w:cs="Times New Roman Regular"/>
          <w:color w:val="000000"/>
          <w:szCs w:val="32"/>
        </w:rPr>
        <w:t>要求，根据省统一发布的预警信息，按级别及时启动应急响应措施，强化重污染天气应对。细化应急减排措施，落实到企业各工艺环节，实施</w:t>
      </w:r>
      <w:r>
        <w:rPr>
          <w:rFonts w:ascii="Times New Roman Regular" w:hAnsi="Times New Roman Regular" w:cs="Times New Roman Regular"/>
          <w:color w:val="000000"/>
          <w:szCs w:val="32"/>
        </w:rPr>
        <w:t>“</w:t>
      </w:r>
      <w:r>
        <w:rPr>
          <w:rFonts w:ascii="Times New Roman Regular" w:hAnsi="Times New Roman Regular" w:cs="Times New Roman Regular"/>
          <w:color w:val="000000"/>
          <w:szCs w:val="32"/>
        </w:rPr>
        <w:t>一厂一策</w:t>
      </w:r>
      <w:r>
        <w:rPr>
          <w:rFonts w:ascii="Times New Roman Regular" w:hAnsi="Times New Roman Regular" w:cs="Times New Roman Regular"/>
          <w:color w:val="000000"/>
          <w:szCs w:val="32"/>
        </w:rPr>
        <w:t>”</w:t>
      </w:r>
      <w:r>
        <w:rPr>
          <w:rFonts w:ascii="Times New Roman Regular" w:hAnsi="Times New Roman Regular" w:cs="Times New Roman Regular"/>
          <w:color w:val="000000"/>
          <w:szCs w:val="32"/>
        </w:rPr>
        <w:t>清单化管理。建立重污染天气生产调度令制度，对列入应急管控清单的限产项目要细化到具体企业、生产线和生产设施上，并采用限制用电、用水、用气等措施保障落实。</w:t>
      </w:r>
    </w:p>
    <w:p w:rsidR="00B373FD">
      <w:pPr>
        <w:pStyle w:val="Heading2"/>
        <w:numPr>
          <w:ilvl w:val="1"/>
          <w:numId w:val="4"/>
        </w:numPr>
        <w:spacing w:before="156" w:after="156"/>
        <w:rPr>
          <w:rFonts w:ascii="Times New Roman Regular" w:hAnsi="Times New Roman Regular" w:cs="Times New Roman Regular"/>
        </w:rPr>
      </w:pPr>
      <w:bookmarkStart w:id="55" w:name="_Toc77862708"/>
      <w:r>
        <w:rPr>
          <w:rFonts w:ascii="Times New Roman Regular" w:hAnsi="Times New Roman Regular" w:cs="Times New Roman Regular"/>
        </w:rPr>
        <w:t>坚持三水统筹</w:t>
      </w:r>
      <w:r>
        <w:rPr>
          <w:rFonts w:ascii="Times New Roman Regular" w:hAnsi="Times New Roman Regular" w:cs="Times New Roman Regular"/>
        </w:rPr>
        <w:t xml:space="preserve">  </w:t>
      </w:r>
      <w:r>
        <w:rPr>
          <w:rFonts w:ascii="Times New Roman Regular" w:hAnsi="Times New Roman Regular" w:cs="Times New Roman Regular"/>
        </w:rPr>
        <w:t>提升水生态环境质量</w:t>
      </w:r>
      <w:bookmarkEnd w:id="55"/>
    </w:p>
    <w:p w:rsidR="00B373FD">
      <w:pPr>
        <w:ind w:firstLine="640" w:firstLineChars="200"/>
        <w:rPr>
          <w:rFonts w:ascii="Times New Roman Regular" w:hAnsi="Times New Roman Regular" w:cs="Times New Roman Regular"/>
        </w:rPr>
      </w:pPr>
      <w:r>
        <w:rPr>
          <w:rFonts w:ascii="Times New Roman Regular" w:hAnsi="Times New Roman Regular" w:cs="Times New Roman Regular"/>
          <w:color w:val="000000"/>
          <w:szCs w:val="32"/>
        </w:rPr>
        <w:t>坚持污染减排与生态扩容两手发力，以改善水生态环境质量为核心，统筹水资源、水生态和水环境流域要素，推进上下游、左右岸协同治理，大力推进生态美丽河湖建设，全方位提升河湖生态质量，着力打造</w:t>
      </w:r>
      <w:r>
        <w:rPr>
          <w:rFonts w:ascii="Times New Roman Regular" w:hAnsi="Times New Roman Regular" w:cs="Times New Roman Regular"/>
          <w:color w:val="000000"/>
          <w:szCs w:val="32"/>
        </w:rPr>
        <w:t>“</w:t>
      </w:r>
      <w:r>
        <w:rPr>
          <w:rFonts w:ascii="Times New Roman Regular" w:hAnsi="Times New Roman Regular" w:cs="Times New Roman Regular"/>
          <w:color w:val="000000"/>
          <w:szCs w:val="32"/>
        </w:rPr>
        <w:t>清水绿岸、鱼翔浅底</w:t>
      </w:r>
      <w:r>
        <w:rPr>
          <w:rFonts w:ascii="Times New Roman Regular" w:hAnsi="Times New Roman Regular" w:cs="Times New Roman Regular"/>
          <w:color w:val="000000"/>
          <w:szCs w:val="32"/>
        </w:rPr>
        <w:t>”</w:t>
      </w:r>
      <w:r>
        <w:rPr>
          <w:rFonts w:ascii="Times New Roman Regular" w:hAnsi="Times New Roman Regular" w:cs="Times New Roman Regular"/>
          <w:color w:val="000000"/>
          <w:szCs w:val="32"/>
        </w:rPr>
        <w:t>的景观风貌。</w:t>
      </w:r>
    </w:p>
    <w:p w:rsidR="00B373FD">
      <w:pPr>
        <w:pStyle w:val="Heading3"/>
        <w:numPr>
          <w:ilvl w:val="2"/>
          <w:numId w:val="4"/>
        </w:numPr>
        <w:rPr>
          <w:rFonts w:ascii="Times New Roman Regular" w:hAnsi="Times New Roman Regular" w:cs="Times New Roman Regular"/>
        </w:rPr>
      </w:pPr>
      <w:r>
        <w:rPr>
          <w:rFonts w:ascii="Times New Roman Regular" w:hAnsi="Times New Roman Regular" w:cs="Times New Roman Regular"/>
        </w:rPr>
        <w:t>切实保障饮用水安全</w:t>
      </w:r>
    </w:p>
    <w:p w:rsidR="00B373FD">
      <w:pPr>
        <w:ind w:firstLine="640" w:firstLineChars="200"/>
        <w:rPr>
          <w:rFonts w:ascii="Times New Roman Regular" w:hAnsi="Times New Roman Regular" w:cs="Times New Roman Regular"/>
          <w:szCs w:val="32"/>
          <w:lang w:val="zh-CN"/>
        </w:rPr>
      </w:pPr>
      <w:r>
        <w:rPr>
          <w:rFonts w:ascii="Times New Roman Regular" w:hAnsi="Times New Roman Regular" w:cs="Times New Roman Regular"/>
          <w:b/>
          <w:color w:val="000000"/>
          <w:szCs w:val="32"/>
        </w:rPr>
        <w:t>优化水源地布局。</w:t>
      </w:r>
      <w:r>
        <w:rPr>
          <w:rFonts w:ascii="Times New Roman Regular" w:hAnsi="Times New Roman Regular" w:cs="Times New Roman Regular"/>
          <w:szCs w:val="32"/>
          <w:lang w:val="zh-CN"/>
        </w:rPr>
        <w:t>根据</w:t>
      </w:r>
      <w:r>
        <w:rPr>
          <w:rFonts w:ascii="Times New Roman Regular" w:hAnsi="Times New Roman Regular" w:cs="Times New Roman Regular" w:hint="eastAsia"/>
          <w:szCs w:val="32"/>
        </w:rPr>
        <w:t>江苏省《集中式饮用水水源地管理与保护规范》</w:t>
      </w:r>
      <w:r>
        <w:rPr>
          <w:rFonts w:ascii="Times New Roman Regular" w:hAnsi="Times New Roman Regular" w:cs="Times New Roman Regular"/>
          <w:szCs w:val="32"/>
          <w:lang w:val="zh-CN"/>
        </w:rPr>
        <w:t>，优化饮用水水源地和应急水源地的布局以及周边产业设置，</w:t>
      </w:r>
      <w:r>
        <w:rPr>
          <w:rFonts w:ascii="Times New Roman Regular" w:hAnsi="Times New Roman Regular" w:cs="Times New Roman Regular"/>
          <w:szCs w:val="32"/>
        </w:rPr>
        <w:t>改造并完善应急水源地，开展白茆口水源地建设前期研究。</w:t>
      </w:r>
      <w:r>
        <w:rPr>
          <w:rFonts w:ascii="Times New Roman Regular" w:hAnsi="Times New Roman Regular" w:cs="Times New Roman Regular"/>
          <w:szCs w:val="32"/>
          <w:lang w:val="zh-CN"/>
        </w:rPr>
        <w:t>强化流域区域、重要河湖水系保护，按照</w:t>
      </w:r>
      <w:r>
        <w:rPr>
          <w:rFonts w:ascii="Times New Roman Regular" w:hAnsi="Times New Roman Regular" w:cs="Times New Roman Regular"/>
          <w:szCs w:val="32"/>
          <w:lang w:val="zh-CN"/>
        </w:rPr>
        <w:t>“</w:t>
      </w:r>
      <w:r>
        <w:rPr>
          <w:rFonts w:ascii="Times New Roman Regular" w:hAnsi="Times New Roman Regular" w:cs="Times New Roman Regular"/>
          <w:szCs w:val="32"/>
          <w:lang w:val="zh-CN"/>
        </w:rPr>
        <w:t>一个保障</w:t>
      </w:r>
      <w:r>
        <w:rPr>
          <w:rFonts w:ascii="Times New Roman Regular" w:hAnsi="Times New Roman Regular" w:cs="Times New Roman Regular"/>
          <w:szCs w:val="32"/>
          <w:lang w:val="zh-CN"/>
        </w:rPr>
        <w:t>”</w:t>
      </w:r>
      <w:r>
        <w:rPr>
          <w:rFonts w:ascii="Times New Roman Regular" w:hAnsi="Times New Roman Regular" w:cs="Times New Roman Regular"/>
          <w:szCs w:val="32"/>
          <w:lang w:val="zh-CN"/>
        </w:rPr>
        <w:t>、</w:t>
      </w:r>
      <w:r>
        <w:rPr>
          <w:rFonts w:ascii="Times New Roman Regular" w:hAnsi="Times New Roman Regular" w:cs="Times New Roman Regular"/>
          <w:szCs w:val="32"/>
          <w:lang w:val="zh-CN"/>
        </w:rPr>
        <w:t>“</w:t>
      </w:r>
      <w:r>
        <w:rPr>
          <w:rFonts w:ascii="Times New Roman Regular" w:hAnsi="Times New Roman Regular" w:cs="Times New Roman Regular"/>
          <w:szCs w:val="32"/>
          <w:lang w:val="zh-CN"/>
        </w:rPr>
        <w:t>两个达标</w:t>
      </w:r>
      <w:r>
        <w:rPr>
          <w:rFonts w:ascii="Times New Roman Regular" w:hAnsi="Times New Roman Regular" w:cs="Times New Roman Regular"/>
          <w:szCs w:val="32"/>
          <w:lang w:val="zh-CN"/>
        </w:rPr>
        <w:t>”</w:t>
      </w:r>
      <w:r>
        <w:rPr>
          <w:rFonts w:ascii="Times New Roman Regular" w:hAnsi="Times New Roman Regular" w:cs="Times New Roman Regular"/>
          <w:szCs w:val="32"/>
          <w:lang w:val="zh-CN"/>
        </w:rPr>
        <w:t>、</w:t>
      </w:r>
      <w:r>
        <w:rPr>
          <w:rFonts w:ascii="Times New Roman Regular" w:hAnsi="Times New Roman Regular" w:cs="Times New Roman Regular"/>
          <w:szCs w:val="32"/>
          <w:lang w:val="zh-CN"/>
        </w:rPr>
        <w:t>“</w:t>
      </w:r>
      <w:r>
        <w:rPr>
          <w:rFonts w:ascii="Times New Roman Regular" w:hAnsi="Times New Roman Regular" w:cs="Times New Roman Regular"/>
          <w:szCs w:val="32"/>
          <w:lang w:val="zh-CN"/>
        </w:rPr>
        <w:t>三个没有</w:t>
      </w:r>
      <w:r>
        <w:rPr>
          <w:rFonts w:ascii="Times New Roman Regular" w:hAnsi="Times New Roman Regular" w:cs="Times New Roman Regular"/>
          <w:szCs w:val="32"/>
          <w:lang w:val="zh-CN"/>
        </w:rPr>
        <w:t>”</w:t>
      </w:r>
      <w:r>
        <w:rPr>
          <w:rFonts w:ascii="Times New Roman Regular" w:hAnsi="Times New Roman Regular" w:cs="Times New Roman Regular"/>
          <w:szCs w:val="32"/>
          <w:lang w:val="zh-CN"/>
        </w:rPr>
        <w:t>、</w:t>
      </w:r>
      <w:r>
        <w:rPr>
          <w:rFonts w:ascii="Times New Roman Regular" w:hAnsi="Times New Roman Regular" w:cs="Times New Roman Regular"/>
          <w:szCs w:val="32"/>
          <w:lang w:val="zh-CN"/>
        </w:rPr>
        <w:t>“</w:t>
      </w:r>
      <w:r>
        <w:rPr>
          <w:rFonts w:ascii="Times New Roman Regular" w:hAnsi="Times New Roman Regular" w:cs="Times New Roman Regular"/>
          <w:szCs w:val="32"/>
          <w:lang w:val="zh-CN"/>
        </w:rPr>
        <w:t>四个到位</w:t>
      </w:r>
      <w:r>
        <w:rPr>
          <w:rFonts w:ascii="Times New Roman Regular" w:hAnsi="Times New Roman Regular" w:cs="Times New Roman Regular"/>
          <w:szCs w:val="32"/>
          <w:lang w:val="zh-CN"/>
        </w:rPr>
        <w:t>”</w:t>
      </w:r>
      <w:r>
        <w:rPr>
          <w:rFonts w:ascii="Times New Roman Regular" w:hAnsi="Times New Roman Regular" w:cs="Times New Roman Regular"/>
          <w:szCs w:val="32"/>
          <w:lang w:val="zh-CN"/>
        </w:rPr>
        <w:t>的标准持续深化水源地达标建设。</w:t>
      </w:r>
    </w:p>
    <w:p w:rsidR="00B373FD">
      <w:pPr>
        <w:ind w:firstLine="640" w:firstLineChars="200"/>
        <w:rPr>
          <w:rFonts w:ascii="Times New Roman Regular" w:hAnsi="Times New Roman Regular" w:cs="Times New Roman Regular"/>
          <w:szCs w:val="32"/>
          <w:lang w:val="zh-CN"/>
        </w:rPr>
      </w:pPr>
      <w:r>
        <w:rPr>
          <w:rFonts w:ascii="Times New Roman Regular" w:hAnsi="Times New Roman Regular" w:cs="Times New Roman Regular"/>
          <w:b/>
          <w:bCs/>
          <w:szCs w:val="32"/>
          <w:lang w:val="zh-CN"/>
        </w:rPr>
        <w:t>加强环境隐患整治。</w:t>
      </w:r>
      <w:r>
        <w:rPr>
          <w:rFonts w:ascii="Times New Roman Regular" w:hAnsi="Times New Roman Regular" w:cs="Times New Roman Regular"/>
          <w:szCs w:val="32"/>
          <w:lang w:val="zh-CN"/>
        </w:rPr>
        <w:t>加强水源地保护区联合执法，定期开展保护区内违法违规问题排查与整治。定期组织饮用水水源地安全专项检查行动，推进饮用水水源地环保执法专项行动，加强水源地流动风险源监管和风险防范。</w:t>
      </w:r>
    </w:p>
    <w:p w:rsidR="00B373FD">
      <w:pPr>
        <w:ind w:firstLine="640" w:firstLineChars="200"/>
        <w:rPr>
          <w:rFonts w:ascii="Times New Roman Regular" w:hAnsi="Times New Roman Regular" w:cs="Times New Roman Regular"/>
          <w:szCs w:val="32"/>
          <w:lang w:val="zh-CN"/>
        </w:rPr>
      </w:pPr>
      <w:r>
        <w:rPr>
          <w:rFonts w:ascii="Times New Roman Regular" w:hAnsi="Times New Roman Regular" w:cs="Times New Roman Regular"/>
          <w:b/>
          <w:bCs/>
          <w:szCs w:val="32"/>
          <w:lang w:val="zh-CN"/>
        </w:rPr>
        <w:t>完善水源地监控监测体系建设。</w:t>
      </w:r>
      <w:r>
        <w:rPr>
          <w:rFonts w:ascii="Times New Roman Regular" w:hAnsi="Times New Roman Regular" w:cs="Times New Roman Regular"/>
          <w:szCs w:val="32"/>
          <w:lang w:val="zh-CN"/>
        </w:rPr>
        <w:t>加强水源地视频在线监控力度，对破坏取水设施、违反水源地保护规定的行为做到及时取证、及时处理。完善自动监测设备与有关单位的信息联网工程，实现资源共享。</w:t>
      </w:r>
    </w:p>
    <w:p w:rsidR="00B373FD">
      <w:pPr>
        <w:ind w:firstLine="640" w:firstLineChars="200"/>
        <w:rPr>
          <w:rFonts w:ascii="Times New Roman Regular" w:eastAsia="楷体_GB2312" w:hAnsi="Times New Roman Regular" w:cs="Times New Roman Regular"/>
        </w:rPr>
      </w:pPr>
      <w:r>
        <w:rPr>
          <w:rFonts w:ascii="Times New Roman Regular" w:hAnsi="Times New Roman Regular" w:cs="Times New Roman Regular"/>
          <w:b/>
          <w:bCs/>
          <w:szCs w:val="32"/>
          <w:lang w:val="zh-CN"/>
        </w:rPr>
        <w:t>建立健全水源地长效管护机制。</w:t>
      </w:r>
      <w:r>
        <w:rPr>
          <w:rFonts w:ascii="Times New Roman Regular" w:hAnsi="Times New Roman Regular" w:cs="Times New Roman Regular"/>
          <w:szCs w:val="32"/>
          <w:lang w:val="zh-CN"/>
        </w:rPr>
        <w:t>实行行政首长负责制，建立部门联动及重大事项会商制度，加强水源地日常巡查，定期开展水量、水质安全评估工作，加大生态补偿力度，定</w:t>
      </w:r>
      <w:r>
        <w:rPr>
          <w:rFonts w:ascii="Times New Roman Regular" w:hAnsi="Times New Roman Regular" w:cs="Times New Roman Regular"/>
          <w:szCs w:val="32"/>
          <w:lang w:val="zh-CN"/>
        </w:rPr>
        <w:t>期修订应对突发水污染事件的水源地及供水安全保障应急预案，实现水源地管理和保护的制度化、规范化、信息化与法治化，做到</w:t>
      </w:r>
      <w:r>
        <w:rPr>
          <w:rFonts w:ascii="Times New Roman Regular" w:hAnsi="Times New Roman Regular" w:cs="Times New Roman Regular"/>
          <w:szCs w:val="32"/>
          <w:lang w:val="zh-CN"/>
        </w:rPr>
        <w:t>“</w:t>
      </w:r>
      <w:r>
        <w:rPr>
          <w:rFonts w:ascii="Times New Roman Regular" w:hAnsi="Times New Roman Regular" w:cs="Times New Roman Regular"/>
          <w:szCs w:val="32"/>
          <w:lang w:val="zh-CN"/>
        </w:rPr>
        <w:t>管理科学规范、应急处置有力、各项保障到位</w:t>
      </w:r>
      <w:r>
        <w:rPr>
          <w:rFonts w:ascii="Times New Roman Regular" w:hAnsi="Times New Roman Regular" w:cs="Times New Roman Regular"/>
          <w:szCs w:val="32"/>
          <w:lang w:val="zh-CN"/>
        </w:rPr>
        <w:t>”</w:t>
      </w:r>
      <w:r>
        <w:rPr>
          <w:rFonts w:ascii="Times New Roman Regular" w:hAnsi="Times New Roman Regular" w:cs="Times New Roman Regular"/>
          <w:szCs w:val="32"/>
          <w:lang w:val="zh-CN"/>
        </w:rPr>
        <w:t>。</w:t>
      </w:r>
    </w:p>
    <w:p w:rsidR="00B373FD">
      <w:pPr>
        <w:pStyle w:val="Heading3"/>
        <w:numPr>
          <w:ilvl w:val="2"/>
          <w:numId w:val="4"/>
        </w:numPr>
        <w:rPr>
          <w:rFonts w:ascii="Times New Roman Regular" w:hAnsi="Times New Roman Regular" w:cs="Times New Roman Regular"/>
        </w:rPr>
      </w:pPr>
      <w:r>
        <w:rPr>
          <w:rFonts w:ascii="Times New Roman Regular" w:hAnsi="Times New Roman Regular" w:cs="Times New Roman Regular"/>
        </w:rPr>
        <w:t>推进水环境综合整治</w:t>
      </w:r>
    </w:p>
    <w:p w:rsidR="00B373FD">
      <w:pPr>
        <w:ind w:firstLine="640" w:firstLineChars="200"/>
        <w:rPr>
          <w:rFonts w:ascii="Times New Roman Regular" w:hAnsi="Times New Roman Regular" w:cs="Times New Roman Regular"/>
          <w:szCs w:val="32"/>
          <w:lang w:val="zh-CN"/>
        </w:rPr>
      </w:pPr>
      <w:r>
        <w:rPr>
          <w:rFonts w:ascii="Times New Roman Regular" w:hAnsi="Times New Roman Regular" w:cs="Times New Roman Regular"/>
          <w:b/>
          <w:bCs/>
          <w:szCs w:val="32"/>
          <w:lang w:val="zh-CN"/>
        </w:rPr>
        <w:t>实施水环境质量目标管理。</w:t>
      </w:r>
      <w:r>
        <w:rPr>
          <w:rFonts w:ascii="Times New Roman Regular" w:hAnsi="Times New Roman Regular" w:cs="Times New Roman Regular"/>
          <w:szCs w:val="32"/>
          <w:lang w:val="zh-CN"/>
        </w:rPr>
        <w:t>以水质达标为底线，制定落实</w:t>
      </w:r>
      <w:r>
        <w:rPr>
          <w:rFonts w:ascii="Times New Roman Regular" w:hAnsi="Times New Roman Regular" w:cs="Times New Roman Regular"/>
          <w:szCs w:val="32"/>
          <w:lang w:val="zh-CN"/>
        </w:rPr>
        <w:t>“</w:t>
      </w:r>
      <w:r>
        <w:rPr>
          <w:rFonts w:ascii="Times New Roman Regular" w:hAnsi="Times New Roman Regular" w:cs="Times New Roman Regular"/>
          <w:szCs w:val="32"/>
          <w:lang w:val="zh-CN"/>
        </w:rPr>
        <w:t>一河一策</w:t>
      </w:r>
      <w:r>
        <w:rPr>
          <w:rFonts w:ascii="Times New Roman Regular" w:hAnsi="Times New Roman Regular" w:cs="Times New Roman Regular"/>
          <w:szCs w:val="32"/>
          <w:lang w:val="zh-CN"/>
        </w:rPr>
        <w:t>”</w:t>
      </w:r>
      <w:r>
        <w:rPr>
          <w:rFonts w:ascii="Times New Roman Regular" w:hAnsi="Times New Roman Regular" w:cs="Times New Roman Regular"/>
          <w:szCs w:val="32"/>
          <w:lang w:val="zh-CN"/>
        </w:rPr>
        <w:t>防治措施。加快推进水功能区与水环境控制单元区划体系和管控手段的有机融合，建立统一的水生态环境管理区划体系、监测体系和考核体系。深入推进河湖长制，压实压紧河湖长制工作责任链条，优化河（湖）长设置，以发现问题、处理问题为导向，切实提升河湖水质改善成效。按照水环境质量</w:t>
      </w:r>
      <w:r>
        <w:rPr>
          <w:rFonts w:ascii="Times New Roman Regular" w:hAnsi="Times New Roman Regular" w:cs="Times New Roman Regular"/>
          <w:szCs w:val="32"/>
          <w:lang w:val="zh-CN"/>
        </w:rPr>
        <w:t>“</w:t>
      </w:r>
      <w:r>
        <w:rPr>
          <w:rFonts w:ascii="Times New Roman Regular" w:hAnsi="Times New Roman Regular" w:cs="Times New Roman Regular"/>
          <w:szCs w:val="32"/>
          <w:lang w:val="zh-CN"/>
        </w:rPr>
        <w:t>只能更好，不能变坏</w:t>
      </w:r>
      <w:r>
        <w:rPr>
          <w:rFonts w:ascii="Times New Roman Regular" w:hAnsi="Times New Roman Regular" w:cs="Times New Roman Regular"/>
          <w:szCs w:val="32"/>
          <w:lang w:val="zh-CN"/>
        </w:rPr>
        <w:t>”</w:t>
      </w:r>
      <w:r>
        <w:rPr>
          <w:rFonts w:ascii="Times New Roman Regular" w:hAnsi="Times New Roman Regular" w:cs="Times New Roman Regular"/>
          <w:szCs w:val="32"/>
          <w:lang w:val="zh-CN"/>
        </w:rPr>
        <w:t>的原则，紧紧围绕国省考断面水质全面达标，落实各项水污染防治工作。</w:t>
      </w:r>
    </w:p>
    <w:p w:rsidR="00B373FD">
      <w:pPr>
        <w:ind w:firstLine="640" w:firstLineChars="200"/>
        <w:rPr>
          <w:rFonts w:ascii="Times New Roman Regular" w:hAnsi="Times New Roman Regular" w:cs="Times New Roman Regular"/>
          <w:b/>
          <w:bCs/>
          <w:szCs w:val="32"/>
          <w:lang w:val="zh-CN"/>
        </w:rPr>
      </w:pPr>
      <w:r>
        <w:rPr>
          <w:rFonts w:ascii="Times New Roman Regular" w:hAnsi="Times New Roman Regular" w:cs="Times New Roman Regular"/>
          <w:b/>
          <w:color w:val="000000"/>
          <w:kern w:val="0"/>
          <w:szCs w:val="32"/>
        </w:rPr>
        <w:t>加强工业企业排水整治。</w:t>
      </w:r>
      <w:r w:rsidRPr="00A4184E" w:rsidR="00A4184E">
        <w:rPr>
          <w:rFonts w:ascii="Times New Roman Regular" w:hAnsi="Times New Roman Regular" w:cs="Times New Roman Regular" w:hint="eastAsia"/>
          <w:bCs/>
          <w:color w:val="000000"/>
          <w:kern w:val="0"/>
          <w:szCs w:val="32"/>
        </w:rPr>
        <w:t>推进纺织印染、医药、食品、电镀等行业整治提升及提标改造，提高工业园区（集聚区）污水处理水平，加快实施“一园一档”、“一企一管”，推进工业集聚区工业废水和生活污水分类收集、分质处理，推动</w:t>
      </w:r>
      <w:r w:rsidRPr="00A4184E" w:rsidR="00A4184E">
        <w:rPr>
          <w:rFonts w:ascii="Times New Roman Regular" w:hAnsi="Times New Roman Regular" w:cs="Times New Roman Regular" w:hint="eastAsia"/>
          <w:bCs/>
          <w:color w:val="000000"/>
          <w:kern w:val="0"/>
          <w:szCs w:val="32"/>
        </w:rPr>
        <w:t>500</w:t>
      </w:r>
      <w:r w:rsidRPr="00A4184E" w:rsidR="00A4184E">
        <w:rPr>
          <w:rFonts w:ascii="Times New Roman Regular" w:hAnsi="Times New Roman Regular" w:cs="Times New Roman Regular" w:hint="eastAsia"/>
          <w:bCs/>
          <w:color w:val="000000"/>
          <w:kern w:val="0"/>
          <w:szCs w:val="32"/>
        </w:rPr>
        <w:t>吨以上排水规模企业在污水集中处理设施进水口、出水口安装水量、水质自动监控设备及配套设施。加强氟化物、挥发酚、锑特征水污染物监管，探索建立重点园区有毒有害水污染物名录，加强对重金属、抗生素、持久性有机物和内分泌干扰物等特征水污染物监管。</w:t>
      </w:r>
    </w:p>
    <w:p w:rsidR="00B373FD">
      <w:pPr>
        <w:ind w:firstLine="640" w:firstLineChars="200"/>
        <w:rPr>
          <w:rFonts w:ascii="Times New Roman Regular" w:hAnsi="Times New Roman Regular" w:cs="Times New Roman Regular"/>
          <w:szCs w:val="32"/>
          <w:lang w:val="zh-CN"/>
        </w:rPr>
      </w:pPr>
      <w:r>
        <w:rPr>
          <w:rFonts w:ascii="Times New Roman Regular" w:hAnsi="Times New Roman Regular" w:cs="Times New Roman Regular"/>
          <w:b/>
          <w:bCs/>
          <w:szCs w:val="32"/>
          <w:lang w:val="zh-CN"/>
        </w:rPr>
        <w:t>健全船舶和港口污染防治长效机制。</w:t>
      </w:r>
      <w:r>
        <w:rPr>
          <w:rFonts w:ascii="Times New Roman Regular" w:hAnsi="Times New Roman Regular" w:cs="Times New Roman Regular"/>
          <w:szCs w:val="32"/>
        </w:rPr>
        <w:t>建设</w:t>
      </w:r>
      <w:r>
        <w:rPr>
          <w:rFonts w:ascii="Times New Roman Regular" w:hAnsi="Times New Roman Regular" w:cs="Times New Roman Regular"/>
          <w:szCs w:val="32"/>
          <w:lang w:val="zh-CN"/>
        </w:rPr>
        <w:t>水上绿色综合服务区</w:t>
      </w:r>
      <w:r>
        <w:rPr>
          <w:rFonts w:ascii="Times New Roman Regular" w:hAnsi="Times New Roman Regular" w:cs="Times New Roman Regular"/>
          <w:szCs w:val="32"/>
        </w:rPr>
        <w:t>和</w:t>
      </w:r>
      <w:r>
        <w:rPr>
          <w:rFonts w:ascii="Times New Roman Regular" w:hAnsi="Times New Roman Regular" w:cs="Times New Roman Regular"/>
          <w:szCs w:val="32"/>
          <w:lang w:val="zh-CN"/>
        </w:rPr>
        <w:t>化学品洗舱水及含</w:t>
      </w:r>
      <w:r>
        <w:rPr>
          <w:rFonts w:ascii="Times New Roman Regular" w:hAnsi="Times New Roman Regular" w:cs="Times New Roman Regular"/>
          <w:szCs w:val="32"/>
        </w:rPr>
        <w:t>油</w:t>
      </w:r>
      <w:r>
        <w:rPr>
          <w:rFonts w:ascii="Times New Roman Regular" w:hAnsi="Times New Roman Regular" w:cs="Times New Roman Regular"/>
          <w:szCs w:val="32"/>
          <w:lang w:val="zh-CN"/>
        </w:rPr>
        <w:t>污水收集处置站，并确保设施</w:t>
      </w:r>
      <w:r>
        <w:rPr>
          <w:rFonts w:ascii="Times New Roman Regular" w:hAnsi="Times New Roman Regular" w:cs="Times New Roman Regular"/>
          <w:szCs w:val="32"/>
          <w:lang w:val="zh-CN"/>
        </w:rPr>
        <w:t>设备正常运行，全面推进船舶污染物</w:t>
      </w:r>
      <w:r>
        <w:rPr>
          <w:rFonts w:ascii="Times New Roman Regular" w:hAnsi="Times New Roman Regular" w:cs="Times New Roman Regular"/>
          <w:szCs w:val="32"/>
          <w:lang w:val="zh-CN"/>
        </w:rPr>
        <w:t>“</w:t>
      </w:r>
      <w:r>
        <w:rPr>
          <w:rFonts w:ascii="Times New Roman Regular" w:hAnsi="Times New Roman Regular" w:cs="Times New Roman Regular"/>
          <w:szCs w:val="32"/>
          <w:lang w:val="zh-CN"/>
        </w:rPr>
        <w:t>一零两全</w:t>
      </w:r>
      <w:r>
        <w:rPr>
          <w:rFonts w:ascii="Times New Roman Regular" w:hAnsi="Times New Roman Regular" w:cs="Times New Roman Regular"/>
          <w:szCs w:val="32"/>
          <w:lang w:val="zh-CN"/>
        </w:rPr>
        <w:t>”</w:t>
      </w:r>
      <w:r>
        <w:rPr>
          <w:rFonts w:ascii="Times New Roman Regular" w:hAnsi="Times New Roman Regular" w:cs="Times New Roman Regular"/>
          <w:szCs w:val="32"/>
          <w:lang w:val="zh-CN"/>
        </w:rPr>
        <w:t>措施，确保港口船舶污染物能够全面接受、转运及处置，加强联合监管，实现闭环管理。</w:t>
      </w:r>
    </w:p>
    <w:p w:rsidR="00B373FD">
      <w:pPr>
        <w:pStyle w:val="a10"/>
        <w:widowControl w:val="0"/>
        <w:spacing w:line="590" w:lineRule="exact"/>
        <w:ind w:firstLine="643"/>
        <w:rPr>
          <w:rFonts w:ascii="Times New Roman Regular" w:eastAsia="仿宋_GB2312" w:hAnsi="Times New Roman Regular" w:cs="Times New Roman Regular"/>
          <w:sz w:val="32"/>
          <w:szCs w:val="32"/>
        </w:rPr>
      </w:pPr>
      <w:r>
        <w:rPr>
          <w:rFonts w:ascii="Times New Roman Regular" w:eastAsia="仿宋_GB2312" w:hAnsi="Times New Roman Regular" w:cs="Times New Roman Regular"/>
          <w:b/>
          <w:sz w:val="32"/>
          <w:szCs w:val="32"/>
        </w:rPr>
        <w:t>推进入河排污口排查整治。</w:t>
      </w:r>
      <w:r>
        <w:rPr>
          <w:rFonts w:ascii="Times New Roman Regular" w:eastAsia="仿宋_GB2312" w:hAnsi="Times New Roman Regular" w:cs="Times New Roman Regular"/>
          <w:sz w:val="32"/>
          <w:szCs w:val="32"/>
        </w:rPr>
        <w:t>在开展</w:t>
      </w:r>
      <w:r>
        <w:rPr>
          <w:rFonts w:ascii="Times New Roman Regular" w:eastAsia="仿宋_GB2312" w:hAnsi="Times New Roman Regular" w:cs="Times New Roman Regular"/>
          <w:sz w:val="32"/>
          <w:szCs w:val="32"/>
        </w:rPr>
        <w:t>“</w:t>
      </w:r>
      <w:r>
        <w:rPr>
          <w:rFonts w:ascii="Times New Roman Regular" w:eastAsia="仿宋_GB2312" w:hAnsi="Times New Roman Regular" w:cs="Times New Roman Regular"/>
          <w:sz w:val="32"/>
          <w:szCs w:val="32"/>
        </w:rPr>
        <w:t>长江</w:t>
      </w:r>
      <w:r>
        <w:rPr>
          <w:rFonts w:ascii="Times New Roman Regular" w:eastAsia="仿宋_GB2312" w:hAnsi="Times New Roman Regular" w:cs="Times New Roman Regular"/>
          <w:sz w:val="32"/>
          <w:szCs w:val="32"/>
        </w:rPr>
        <w:t>”</w:t>
      </w:r>
      <w:r>
        <w:rPr>
          <w:rFonts w:ascii="Times New Roman Regular" w:eastAsia="仿宋_GB2312" w:hAnsi="Times New Roman Regular" w:cs="Times New Roman Regular"/>
          <w:sz w:val="32"/>
          <w:szCs w:val="32"/>
        </w:rPr>
        <w:t>排污口试点排查的基础上，持续开展太湖流域入河（湖）排污口排查、监测、溯源、整治工作，</w:t>
      </w:r>
      <w:r>
        <w:rPr>
          <w:rFonts w:ascii="Times New Roman Regular" w:eastAsia="仿宋_GB2312" w:hAnsi="Times New Roman Regular" w:cs="Times New Roman Regular"/>
          <w:bCs/>
          <w:color w:val="000000"/>
          <w:kern w:val="0"/>
          <w:sz w:val="32"/>
          <w:szCs w:val="32"/>
        </w:rPr>
        <w:t>通过系统治理、分类施策、精准整治，有效管控各类入河（湖）排污口，实现排污单位</w:t>
      </w:r>
      <w:r>
        <w:rPr>
          <w:rFonts w:ascii="Times New Roman Regular" w:eastAsia="仿宋_GB2312" w:hAnsi="Times New Roman Regular" w:cs="Times New Roman Regular"/>
          <w:bCs/>
          <w:color w:val="000000"/>
          <w:kern w:val="0"/>
          <w:sz w:val="32"/>
          <w:szCs w:val="32"/>
        </w:rPr>
        <w:t>—</w:t>
      </w:r>
      <w:r>
        <w:rPr>
          <w:rFonts w:ascii="Times New Roman Regular" w:eastAsia="仿宋_GB2312" w:hAnsi="Times New Roman Regular" w:cs="Times New Roman Regular"/>
          <w:bCs/>
          <w:color w:val="000000"/>
          <w:kern w:val="0"/>
          <w:sz w:val="32"/>
          <w:szCs w:val="32"/>
        </w:rPr>
        <w:t>污水管网</w:t>
      </w:r>
      <w:r>
        <w:rPr>
          <w:rFonts w:ascii="Times New Roman Regular" w:eastAsia="仿宋_GB2312" w:hAnsi="Times New Roman Regular" w:cs="Times New Roman Regular"/>
          <w:bCs/>
          <w:color w:val="000000"/>
          <w:kern w:val="0"/>
          <w:sz w:val="32"/>
          <w:szCs w:val="32"/>
        </w:rPr>
        <w:t>—</w:t>
      </w:r>
      <w:r>
        <w:rPr>
          <w:rFonts w:ascii="Times New Roman Regular" w:eastAsia="仿宋_GB2312" w:hAnsi="Times New Roman Regular" w:cs="Times New Roman Regular"/>
          <w:bCs/>
          <w:color w:val="000000"/>
          <w:kern w:val="0"/>
          <w:sz w:val="32"/>
          <w:szCs w:val="32"/>
        </w:rPr>
        <w:t>受纳水体全过程监管。</w:t>
      </w:r>
      <w:r>
        <w:rPr>
          <w:rFonts w:ascii="Times New Roman Regular" w:eastAsia="仿宋_GB2312" w:hAnsi="Times New Roman Regular" w:cs="Times New Roman Regular"/>
          <w:bCs/>
          <w:color w:val="000000"/>
          <w:kern w:val="0"/>
          <w:sz w:val="32"/>
          <w:szCs w:val="32"/>
        </w:rPr>
        <w:t>2023</w:t>
      </w:r>
      <w:r>
        <w:rPr>
          <w:rFonts w:ascii="Times New Roman Regular" w:eastAsia="仿宋_GB2312" w:hAnsi="Times New Roman Regular" w:cs="Times New Roman Regular"/>
          <w:bCs/>
          <w:color w:val="000000"/>
          <w:kern w:val="0"/>
          <w:sz w:val="32"/>
          <w:szCs w:val="32"/>
        </w:rPr>
        <w:t>年底前，全面完成入河（湖）排污口排查、监测、溯源、整治</w:t>
      </w:r>
      <w:r w:rsidR="00E11A44">
        <w:rPr>
          <w:rFonts w:ascii="Times New Roman Regular" w:eastAsia="仿宋_GB2312" w:hAnsi="Times New Roman Regular" w:cs="Times New Roman Regular"/>
          <w:bCs/>
          <w:color w:val="000000"/>
          <w:kern w:val="0"/>
          <w:sz w:val="32"/>
          <w:szCs w:val="32"/>
        </w:rPr>
        <w:t>工作</w:t>
      </w:r>
      <w:r>
        <w:rPr>
          <w:rFonts w:ascii="Times New Roman Regular" w:eastAsia="仿宋_GB2312" w:hAnsi="Times New Roman Regular" w:cs="Times New Roman Regular"/>
          <w:bCs/>
          <w:color w:val="000000"/>
          <w:kern w:val="0"/>
          <w:sz w:val="32"/>
          <w:szCs w:val="32"/>
        </w:rPr>
        <w:t>。</w:t>
      </w:r>
    </w:p>
    <w:p w:rsidR="00B373FD">
      <w:pPr>
        <w:pStyle w:val="a10"/>
        <w:widowControl w:val="0"/>
        <w:spacing w:line="590" w:lineRule="exact"/>
        <w:ind w:firstLine="643"/>
        <w:rPr>
          <w:rFonts w:ascii="Times New Roman Regular" w:hAnsi="Times New Roman Regular" w:cs="Times New Roman Regular"/>
        </w:rPr>
      </w:pPr>
      <w:r>
        <w:rPr>
          <w:rFonts w:ascii="Times New Roman Regular" w:eastAsia="仿宋_GB2312" w:hAnsi="Times New Roman Regular" w:cs="Times New Roman Regular"/>
          <w:b/>
          <w:bCs/>
          <w:color w:val="000000"/>
          <w:sz w:val="32"/>
          <w:szCs w:val="32"/>
        </w:rPr>
        <w:t>持续巩固黑臭水体整治成效。</w:t>
      </w:r>
      <w:r>
        <w:rPr>
          <w:rFonts w:ascii="Times New Roman Regular" w:eastAsia="仿宋_GB2312" w:hAnsi="Times New Roman Regular" w:cs="Times New Roman Regular"/>
          <w:color w:val="000000"/>
          <w:sz w:val="32"/>
          <w:szCs w:val="32"/>
        </w:rPr>
        <w:t>持续关注已治水体后续水质恢复成效，建立预警、管护、提升三位一体的长效管理体系，防止已治河段和支流返黑返臭。</w:t>
      </w:r>
    </w:p>
    <w:p w:rsidR="00B373FD">
      <w:pPr>
        <w:pStyle w:val="Heading3"/>
        <w:ind w:firstLine="0"/>
        <w:rPr>
          <w:rFonts w:ascii="Times New Roman Regular" w:hAnsi="Times New Roman Regular" w:cs="Times New Roman Regular"/>
        </w:rPr>
      </w:pPr>
      <w:r>
        <w:rPr>
          <w:rFonts w:ascii="Times New Roman Regular" w:hAnsi="Times New Roman Regular" w:cs="Times New Roman Regular"/>
        </w:rPr>
        <w:t>6.4.3</w:t>
      </w:r>
      <w:r>
        <w:rPr>
          <w:rFonts w:ascii="Times New Roman Regular" w:hAnsi="Times New Roman Regular" w:cs="Times New Roman Regular"/>
        </w:rPr>
        <w:t>推进生态美丽河湖建设</w:t>
      </w:r>
    </w:p>
    <w:p w:rsidR="00B373FD">
      <w:pPr>
        <w:pStyle w:val="a10"/>
        <w:spacing w:line="590" w:lineRule="exact"/>
        <w:ind w:firstLine="640" w:firstLineChars="0"/>
        <w:rPr>
          <w:rFonts w:ascii="Times New Roman Regular" w:eastAsia="仿宋_GB2312" w:hAnsi="Times New Roman Regular" w:cs="Times New Roman Regular"/>
          <w:sz w:val="32"/>
          <w:szCs w:val="32"/>
          <w:lang w:val="zh-CN"/>
        </w:rPr>
      </w:pPr>
      <w:r>
        <w:rPr>
          <w:rFonts w:ascii="Times New Roman Regular" w:eastAsia="仿宋_GB2312" w:hAnsi="Times New Roman Regular" w:cs="Times New Roman Regular"/>
          <w:sz w:val="32"/>
          <w:szCs w:val="32"/>
          <w:lang w:val="zh-CN"/>
        </w:rPr>
        <w:t>深化河湖长制和生态美丽河湖建设要求，推进高质量的水生态保护修复，加快水生态趋势性好转，因地制宜，形成河湖相连、河湖相依、河湖相补的良好生态系统。推进水生态修复涵养，完善</w:t>
      </w:r>
      <w:r>
        <w:rPr>
          <w:rFonts w:ascii="Times New Roman Regular" w:eastAsia="仿宋_GB2312" w:hAnsi="Times New Roman Regular" w:cs="Times New Roman Regular"/>
          <w:sz w:val="32"/>
          <w:szCs w:val="32"/>
          <w:lang w:val="zh-CN"/>
        </w:rPr>
        <w:t>“</w:t>
      </w:r>
      <w:r>
        <w:rPr>
          <w:rFonts w:ascii="Times New Roman Regular" w:eastAsia="仿宋_GB2312" w:hAnsi="Times New Roman Regular" w:cs="Times New Roman Regular"/>
          <w:sz w:val="32"/>
          <w:szCs w:val="32"/>
          <w:lang w:val="zh-CN"/>
        </w:rPr>
        <w:t>一江两城五湖六廊、九横九纵</w:t>
      </w:r>
      <w:r>
        <w:rPr>
          <w:rFonts w:ascii="Times New Roman Regular" w:eastAsia="仿宋_GB2312" w:hAnsi="Times New Roman Regular" w:cs="Times New Roman Regular"/>
          <w:sz w:val="32"/>
          <w:szCs w:val="32"/>
          <w:lang w:val="zh-CN"/>
        </w:rPr>
        <w:t>”</w:t>
      </w:r>
      <w:r>
        <w:rPr>
          <w:rFonts w:ascii="Times New Roman Regular" w:eastAsia="仿宋_GB2312" w:hAnsi="Times New Roman Regular" w:cs="Times New Roman Regular"/>
          <w:sz w:val="32"/>
          <w:szCs w:val="32"/>
          <w:lang w:val="zh-CN"/>
        </w:rPr>
        <w:t>的市域滨水生态格局，开展水域生态湿地建设，提升河湖水源涵养能力。建设生态美丽河湖，根据苏州市生态美丽河湖任务安排，完成</w:t>
      </w:r>
      <w:r>
        <w:rPr>
          <w:rFonts w:ascii="Times New Roman Regular" w:eastAsia="仿宋_GB2312" w:hAnsi="Times New Roman Regular" w:cs="Times New Roman Regular" w:hint="eastAsia"/>
          <w:sz w:val="32"/>
          <w:szCs w:val="32"/>
        </w:rPr>
        <w:t>450</w:t>
      </w:r>
      <w:r>
        <w:rPr>
          <w:rFonts w:ascii="Times New Roman Regular" w:eastAsia="仿宋_GB2312" w:hAnsi="Times New Roman Regular" w:cs="Times New Roman Regular"/>
          <w:sz w:val="32"/>
          <w:szCs w:val="32"/>
          <w:lang w:val="zh-CN"/>
        </w:rPr>
        <w:t>条生态美丽河湖建设，建成</w:t>
      </w:r>
      <w:r w:rsidRPr="003870C7">
        <w:rPr>
          <w:rFonts w:ascii="Times New Roman" w:eastAsia="仿宋_GB2312"/>
          <w:sz w:val="32"/>
          <w:szCs w:val="32"/>
          <w:lang w:val="zh-CN"/>
        </w:rPr>
        <w:t>l</w:t>
      </w:r>
      <w:r w:rsidR="00BF1247">
        <w:rPr>
          <w:rFonts w:ascii="Times New Roman" w:eastAsia="仿宋_GB2312" w:hint="eastAsia"/>
          <w:sz w:val="32"/>
          <w:szCs w:val="32"/>
          <w:lang w:val="zh-CN"/>
        </w:rPr>
        <w:t>—</w:t>
      </w:r>
      <w:bookmarkStart w:id="56" w:name="_GoBack"/>
      <w:bookmarkEnd w:id="56"/>
      <w:r w:rsidRPr="003870C7">
        <w:rPr>
          <w:rFonts w:ascii="Times New Roman" w:eastAsia="仿宋_GB2312"/>
          <w:sz w:val="32"/>
          <w:szCs w:val="32"/>
          <w:lang w:val="zh-CN"/>
        </w:rPr>
        <w:t>2</w:t>
      </w:r>
      <w:r>
        <w:rPr>
          <w:rFonts w:ascii="Times New Roman Regular" w:eastAsia="仿宋_GB2312" w:hAnsi="Times New Roman Regular" w:cs="Times New Roman Regular"/>
          <w:sz w:val="32"/>
          <w:szCs w:val="32"/>
          <w:lang w:val="zh-CN"/>
        </w:rPr>
        <w:t>个生态美丽河湖省级示范样板。</w:t>
      </w:r>
      <w:r>
        <w:rPr>
          <w:rFonts w:ascii="Times New Roman Regular" w:eastAsia="仿宋_GB2312" w:hAnsi="Times New Roman Regular" w:cs="Times New Roman Regular"/>
          <w:bCs/>
          <w:color w:val="000000"/>
          <w:kern w:val="0"/>
          <w:sz w:val="32"/>
          <w:szCs w:val="32"/>
        </w:rPr>
        <w:t>持续加大水土保持力度，加强长江及其他生态敏感区域水土保持，推进河湖岸线和沿江沙土</w:t>
      </w:r>
      <w:r w:rsidR="003870C7">
        <w:rPr>
          <w:rFonts w:ascii="Times New Roman Regular" w:eastAsia="仿宋_GB2312" w:hAnsi="Times New Roman Regular" w:cs="Times New Roman Regular" w:hint="eastAsia"/>
          <w:bCs/>
          <w:color w:val="000000"/>
          <w:kern w:val="0"/>
          <w:sz w:val="32"/>
          <w:szCs w:val="32"/>
        </w:rPr>
        <w:t>、</w:t>
      </w:r>
      <w:r>
        <w:rPr>
          <w:rFonts w:ascii="Times New Roman Regular" w:eastAsia="仿宋_GB2312" w:hAnsi="Times New Roman Regular" w:cs="Times New Roman Regular"/>
          <w:bCs/>
          <w:color w:val="000000"/>
          <w:kern w:val="0"/>
          <w:sz w:val="32"/>
          <w:szCs w:val="32"/>
        </w:rPr>
        <w:t>边滩水土流失治理，积极开展生态清洁小流域建设。</w:t>
      </w:r>
    </w:p>
    <w:p w:rsidR="00B373FD">
      <w:pPr>
        <w:pStyle w:val="Heading3"/>
        <w:ind w:firstLine="0"/>
        <w:rPr>
          <w:rFonts w:ascii="Times New Roman Regular" w:hAnsi="Times New Roman Regular" w:cs="Times New Roman Regular"/>
        </w:rPr>
      </w:pPr>
      <w:r>
        <w:rPr>
          <w:rFonts w:ascii="Times New Roman Regular" w:hAnsi="Times New Roman Regular" w:cs="Times New Roman Regular"/>
        </w:rPr>
        <w:t>6.4.4</w:t>
      </w:r>
      <w:r>
        <w:rPr>
          <w:rFonts w:ascii="Times New Roman Regular" w:hAnsi="Times New Roman Regular" w:cs="Times New Roman Regular"/>
        </w:rPr>
        <w:t>大力提升水资源利用水平</w:t>
      </w:r>
    </w:p>
    <w:p w:rsidR="00B373FD">
      <w:pPr>
        <w:ind w:firstLine="640" w:firstLineChars="200"/>
        <w:rPr>
          <w:rFonts w:ascii="Times New Roman Regular" w:hAnsi="Times New Roman Regular" w:cs="Times New Roman Regular"/>
        </w:rPr>
      </w:pPr>
      <w:r>
        <w:rPr>
          <w:rFonts w:ascii="Times New Roman Regular" w:hAnsi="Times New Roman Regular" w:cs="Times New Roman Regular"/>
          <w:szCs w:val="32"/>
          <w:lang w:val="zh-CN"/>
        </w:rPr>
        <w:t>实行最严格的水资源管理制度，实行水资源消耗总量和强度双控行动，严格取水许可、水资源有偿使用、水资源论证等制度。建立用水单位重点监控名录，推进合同节水管理，继续开展</w:t>
      </w:r>
      <w:r>
        <w:rPr>
          <w:rFonts w:ascii="Times New Roman Regular" w:hAnsi="Times New Roman Regular" w:cs="Times New Roman Regular"/>
          <w:szCs w:val="32"/>
          <w:lang w:val="zh-CN"/>
        </w:rPr>
        <w:t>“</w:t>
      </w:r>
      <w:r>
        <w:rPr>
          <w:rFonts w:ascii="Times New Roman Regular" w:hAnsi="Times New Roman Regular" w:cs="Times New Roman Regular"/>
          <w:szCs w:val="32"/>
          <w:lang w:val="zh-CN"/>
        </w:rPr>
        <w:t>水效领跑者</w:t>
      </w:r>
      <w:r>
        <w:rPr>
          <w:rFonts w:ascii="Times New Roman Regular" w:hAnsi="Times New Roman Regular" w:cs="Times New Roman Regular"/>
          <w:szCs w:val="32"/>
          <w:lang w:val="zh-CN"/>
        </w:rPr>
        <w:t>”</w:t>
      </w:r>
      <w:r>
        <w:rPr>
          <w:rFonts w:ascii="Times New Roman Regular" w:hAnsi="Times New Roman Regular" w:cs="Times New Roman Regular"/>
          <w:szCs w:val="32"/>
          <w:lang w:val="zh-CN"/>
        </w:rPr>
        <w:t>引领行动。积极推动中水回用设施建设，加强再生水循环利用。大力推进节水型社会建设，推广普及节水器具，积极创建节水型社区、机关、学校、</w:t>
      </w:r>
      <w:r>
        <w:rPr>
          <w:rFonts w:ascii="Times New Roman Regular" w:hAnsi="Times New Roman Regular" w:cs="Times New Roman Regular" w:hint="eastAsia"/>
          <w:szCs w:val="32"/>
        </w:rPr>
        <w:t>企业</w:t>
      </w:r>
      <w:r>
        <w:rPr>
          <w:rFonts w:ascii="Times New Roman Regular" w:hAnsi="Times New Roman Regular" w:cs="Times New Roman Regular"/>
          <w:szCs w:val="32"/>
          <w:lang w:val="zh-CN"/>
        </w:rPr>
        <w:t>等，完善公众节水行为规范体系。推广农业节水技术，加强灌排沟渠防渗建设，推行喷灌、滴灌等节水型设施农业技术。</w:t>
      </w:r>
    </w:p>
    <w:p w:rsidR="00B373FD">
      <w:pPr>
        <w:pStyle w:val="Heading2"/>
        <w:numPr>
          <w:ilvl w:val="1"/>
          <w:numId w:val="4"/>
        </w:numPr>
        <w:spacing w:before="156" w:after="156"/>
        <w:rPr>
          <w:rFonts w:ascii="Times New Roman Regular" w:hAnsi="Times New Roman Regular" w:cs="Times New Roman Regular"/>
        </w:rPr>
      </w:pPr>
      <w:bookmarkStart w:id="57" w:name="_Toc67566692"/>
      <w:bookmarkStart w:id="58" w:name="_Toc77862709"/>
      <w:r>
        <w:rPr>
          <w:rFonts w:ascii="Times New Roman Regular" w:hAnsi="Times New Roman Regular" w:cs="Times New Roman Regular"/>
        </w:rPr>
        <w:t>加强土壤污染管控修复</w:t>
      </w:r>
      <w:r>
        <w:rPr>
          <w:rFonts w:ascii="Times New Roman Regular" w:hAnsi="Times New Roman Regular" w:cs="Times New Roman Regular"/>
        </w:rPr>
        <w:t xml:space="preserve">  </w:t>
      </w:r>
      <w:r>
        <w:rPr>
          <w:rFonts w:ascii="Times New Roman Regular" w:hAnsi="Times New Roman Regular" w:cs="Times New Roman Regular"/>
        </w:rPr>
        <w:t>保护土壤环境质量</w:t>
      </w:r>
      <w:bookmarkEnd w:id="57"/>
      <w:bookmarkEnd w:id="58"/>
      <w:r>
        <w:rPr>
          <w:rFonts w:ascii="Times New Roman Regular" w:hAnsi="Times New Roman Regular" w:cs="Times New Roman Regular"/>
        </w:rPr>
        <w:t xml:space="preserve"> </w:t>
      </w:r>
    </w:p>
    <w:p w:rsidR="00B373FD">
      <w:pPr>
        <w:pStyle w:val="Heading3"/>
        <w:numPr>
          <w:ilvl w:val="2"/>
          <w:numId w:val="4"/>
        </w:numPr>
        <w:rPr>
          <w:rFonts w:ascii="Times New Roman Regular" w:hAnsi="Times New Roman Regular" w:cs="Times New Roman Regular"/>
        </w:rPr>
      </w:pPr>
      <w:r>
        <w:rPr>
          <w:rFonts w:ascii="Times New Roman Regular" w:hAnsi="Times New Roman Regular" w:cs="Times New Roman Regular" w:hint="eastAsia"/>
        </w:rPr>
        <w:t>全面加强农用地分类防控</w:t>
      </w:r>
    </w:p>
    <w:p w:rsidR="00A4184E" w:rsidP="00A4184E">
      <w:pPr>
        <w:ind w:firstLine="640" w:firstLineChars="200"/>
      </w:pPr>
      <w:r w:rsidRPr="00A4184E">
        <w:rPr>
          <w:b/>
          <w:bCs/>
          <w:szCs w:val="32"/>
          <w:lang w:val="zh-CN"/>
        </w:rPr>
        <w:t>严防新增耕地土壤污染。</w:t>
      </w:r>
      <w:r w:rsidRPr="00A4184E">
        <w:rPr>
          <w:szCs w:val="32"/>
          <w:lang w:val="zh-CN"/>
        </w:rPr>
        <w:t>依据土壤污染防治法开展永久</w:t>
      </w:r>
      <w:r>
        <w:rPr>
          <w:szCs w:val="32"/>
          <w:lang w:val="zh-CN"/>
        </w:rPr>
        <w:t>基本农田划定</w:t>
      </w:r>
      <w:r w:rsidR="003A5997">
        <w:rPr>
          <w:rFonts w:hint="eastAsia"/>
          <w:szCs w:val="32"/>
          <w:lang w:val="zh-CN"/>
        </w:rPr>
        <w:t>工作</w:t>
      </w:r>
      <w:r>
        <w:rPr>
          <w:szCs w:val="32"/>
          <w:lang w:val="zh-CN"/>
        </w:rPr>
        <w:t>，在永久基本农田集中区域，不得规划新建可能造成土壤污染的建设项目，已建成的应当限期关闭拆除。加大优先保护类耕地保护力度，确保其面积不减少、土壤环境质量不下降。持续推进涉镉等重金属重点行业企业排查整治，打击非法排污，降低农产品镉等重金属超标风险。加强农药、肥料、农膜等农业投入品使用管理，转变病虫草害防控方式，大力推进绿色防控，推进农业投入品包装废弃物回收及无害化处理，控制和减少农业生产活动对耕地造成污染。</w:t>
      </w:r>
      <w:r>
        <w:rPr>
          <w:rFonts w:hint="eastAsia"/>
          <w:szCs w:val="32"/>
        </w:rPr>
        <w:t>设立水质自动监测站，对安全利用类、严格管控类的耕地进行地下水、灌溉水监测、监督，确保符合农田灌溉水质标准。</w:t>
      </w:r>
    </w:p>
    <w:p w:rsidR="00B373FD" w:rsidP="00993048">
      <w:pPr>
        <w:ind w:firstLine="640" w:firstLineChars="200"/>
        <w:rPr>
          <w:lang w:val="zh-CN"/>
        </w:rPr>
      </w:pPr>
      <w:r w:rsidRPr="00A4184E">
        <w:rPr>
          <w:b/>
          <w:bCs/>
          <w:szCs w:val="32"/>
          <w:lang w:val="zh-CN"/>
        </w:rPr>
        <w:t>加强受污染耕地安全利用。</w:t>
      </w:r>
      <w:r w:rsidRPr="00A4184E">
        <w:rPr>
          <w:szCs w:val="32"/>
          <w:lang w:val="zh-CN"/>
        </w:rPr>
        <w:t>采用分类分区分级精准施用技术措施，确保受污染耕地安全利用率达到</w:t>
      </w:r>
      <w:r w:rsidR="00016E1E">
        <w:rPr>
          <w:rFonts w:hint="eastAsia"/>
          <w:szCs w:val="32"/>
          <w:lang w:val="zh-CN"/>
        </w:rPr>
        <w:t>上级</w:t>
      </w:r>
      <w:r w:rsidR="00016E1E">
        <w:rPr>
          <w:szCs w:val="32"/>
          <w:lang w:val="zh-CN"/>
        </w:rPr>
        <w:t>要求</w:t>
      </w:r>
      <w:r w:rsidRPr="00A4184E">
        <w:rPr>
          <w:szCs w:val="32"/>
          <w:lang w:val="zh-CN"/>
        </w:rPr>
        <w:t>。提升耕地土壤环境质量。实施耕地质量保护与提升行动。建立优先保护类耕地保护措施清单，积极推进特定农产品严格管控区划定。</w:t>
      </w:r>
    </w:p>
    <w:p w:rsidR="00B373FD">
      <w:pPr>
        <w:pStyle w:val="Heading3"/>
        <w:numPr>
          <w:ilvl w:val="2"/>
          <w:numId w:val="4"/>
        </w:numPr>
        <w:rPr>
          <w:rFonts w:ascii="Times New Roman Regular" w:hAnsi="Times New Roman Regular" w:cs="Times New Roman Regular"/>
        </w:rPr>
      </w:pPr>
      <w:r>
        <w:rPr>
          <w:rFonts w:ascii="Times New Roman Regular" w:hAnsi="Times New Roman Regular" w:cs="Times New Roman Regular"/>
        </w:rPr>
        <w:t>防止新增土壤污染</w:t>
      </w:r>
    </w:p>
    <w:p w:rsidR="00B373FD">
      <w:pPr>
        <w:ind w:firstLine="640" w:firstLineChars="200"/>
        <w:rPr>
          <w:rFonts w:ascii="Times New Roman Regular" w:hAnsi="Times New Roman Regular" w:cs="Times New Roman Regular"/>
          <w:bCs/>
          <w:color w:val="000000"/>
          <w:kern w:val="0"/>
          <w:szCs w:val="32"/>
        </w:rPr>
      </w:pPr>
      <w:r>
        <w:rPr>
          <w:rFonts w:ascii="Times New Roman Regular" w:hAnsi="Times New Roman Regular" w:cs="Times New Roman Regular"/>
          <w:b/>
          <w:bCs/>
          <w:szCs w:val="32"/>
          <w:lang w:val="zh-CN"/>
        </w:rPr>
        <w:t>强化重点监管企业风险防控。</w:t>
      </w:r>
      <w:r w:rsidRPr="00A4184E" w:rsidR="00A4184E">
        <w:rPr>
          <w:rFonts w:ascii="Times New Roman Regular" w:hAnsi="Times New Roman Regular" w:cs="Times New Roman Regular" w:hint="eastAsia"/>
          <w:szCs w:val="32"/>
          <w:lang w:val="zh-CN"/>
        </w:rPr>
        <w:t>强化各类企业，特别是有色金属冶炼、化工、电镀、制革、农药、铅蓄电池、钢铁等重点行业企业拆除活动监管，纳入排污许可重点管理的企业事业单位和土壤污染重点监管单位，应做好拆除活动土壤污染防治。推进重点监管单位建立完善土壤污染防治工作台帐，在排污许可证中载明严格控制有毒有害物质排放、建立土壤污染隐患排查制度、制定并实施土壤和地下水环境自行监测方案等。加强重点监管企业日常监管力度，督促企业定期开展土壤和地下水环境自行监测，同时加强对重点监管企业周边的土壤和地下水环境监测，加强污染隐患排查</w:t>
      </w:r>
      <w:r>
        <w:rPr>
          <w:rFonts w:ascii="Times New Roman Regular" w:hAnsi="Times New Roman Regular" w:cs="Times New Roman Regular"/>
          <w:bCs/>
          <w:color w:val="000000"/>
          <w:kern w:val="0"/>
          <w:szCs w:val="32"/>
        </w:rPr>
        <w:t>。</w:t>
      </w:r>
    </w:p>
    <w:p w:rsidR="00B373FD" w:rsidP="00993048">
      <w:pPr>
        <w:spacing w:line="360" w:lineRule="auto"/>
        <w:ind w:firstLine="640" w:firstLineChars="200"/>
        <w:rPr>
          <w:color w:val="0D0D0D"/>
        </w:rPr>
      </w:pPr>
      <w:r w:rsidRPr="00993048">
        <w:rPr>
          <w:rFonts w:ascii="Times New Roman Regular" w:hAnsi="Times New Roman Regular" w:cs="Times New Roman Regular" w:hint="eastAsia"/>
          <w:b/>
          <w:bCs/>
          <w:color w:val="0D0D0D"/>
          <w:szCs w:val="32"/>
          <w:lang w:val="zh-CN"/>
        </w:rPr>
        <w:t>强化重金属污染防控。</w:t>
      </w:r>
      <w:r w:rsidRPr="00A4184E" w:rsidR="00A4184E">
        <w:rPr>
          <w:rFonts w:hint="eastAsia"/>
          <w:color w:val="0D0D0D"/>
        </w:rPr>
        <w:t>重点行业重点重金属污染物排放量削减达到省定目标。严格涉重金属项目准入，动态更新全口径涉重金属重点行业企业清单，及时将相关企业纳入“双随机、一公开”环境监管，严厉打击涉重企业环境违法行为。持续做好涉镉等重金属重点行业企业排查整治工作。开展太仓市双凤五金机电（电镀）集中作业区重金属专项整治，完善重金属污染高效治理与规范化管控</w:t>
      </w:r>
      <w:r>
        <w:rPr>
          <w:color w:val="0D0D0D"/>
        </w:rPr>
        <w:t>。</w:t>
      </w:r>
    </w:p>
    <w:p w:rsidR="00B373FD">
      <w:pPr>
        <w:ind w:firstLine="640" w:firstLineChars="200"/>
        <w:rPr>
          <w:rFonts w:ascii="Times New Roman Regular" w:hAnsi="Times New Roman Regular" w:cs="Times New Roman Regular"/>
          <w:szCs w:val="32"/>
          <w:lang w:val="zh-CN"/>
        </w:rPr>
      </w:pPr>
      <w:r>
        <w:rPr>
          <w:rFonts w:ascii="Times New Roman Regular" w:hAnsi="Times New Roman Regular" w:cs="Times New Roman Regular"/>
          <w:b/>
          <w:bCs/>
          <w:szCs w:val="32"/>
          <w:lang w:val="zh-CN"/>
        </w:rPr>
        <w:t>协同监管土壤和地下水污染。</w:t>
      </w:r>
      <w:r w:rsidRPr="00A4184E" w:rsidR="00A4184E">
        <w:rPr>
          <w:rFonts w:ascii="Times New Roman Regular" w:hAnsi="Times New Roman Regular" w:cs="Times New Roman Regular" w:hint="eastAsia"/>
          <w:szCs w:val="32"/>
          <w:lang w:val="zh-CN"/>
        </w:rPr>
        <w:t>根据《苏州市地下水污染防治分区规划》，明确地下水污染分区防治措施，实施地下水污染源分类监管，分类实施地下水污染风险管控和修复。加强灌溉水质监测与管理，严防人工回灌引起的地下水污染。探索土</w:t>
      </w:r>
      <w:r w:rsidRPr="00A4184E" w:rsidR="00A4184E">
        <w:rPr>
          <w:rFonts w:ascii="Times New Roman Regular" w:hAnsi="Times New Roman Regular" w:cs="Times New Roman Regular" w:hint="eastAsia"/>
          <w:szCs w:val="32"/>
          <w:lang w:val="zh-CN"/>
        </w:rPr>
        <w:t>-</w:t>
      </w:r>
      <w:r w:rsidRPr="00A4184E" w:rsidR="00A4184E">
        <w:rPr>
          <w:rFonts w:ascii="Times New Roman Regular" w:hAnsi="Times New Roman Regular" w:cs="Times New Roman Regular" w:hint="eastAsia"/>
          <w:szCs w:val="32"/>
          <w:lang w:val="zh-CN"/>
        </w:rPr>
        <w:t>水协同修复治理模式，探索开展重点污染区域地下水污染防控、防渗改造以及地表水与地下水紧密联系区地下水污染防控等试点示范工程。到</w:t>
      </w:r>
      <w:r w:rsidRPr="00A4184E" w:rsidR="00A4184E">
        <w:rPr>
          <w:rFonts w:ascii="Times New Roman Regular" w:hAnsi="Times New Roman Regular" w:cs="Times New Roman Regular" w:hint="eastAsia"/>
          <w:szCs w:val="32"/>
          <w:lang w:val="zh-CN"/>
        </w:rPr>
        <w:t>2025</w:t>
      </w:r>
      <w:r w:rsidRPr="00A4184E" w:rsidR="00A4184E">
        <w:rPr>
          <w:rFonts w:ascii="Times New Roman Regular" w:hAnsi="Times New Roman Regular" w:cs="Times New Roman Regular" w:hint="eastAsia"/>
          <w:szCs w:val="32"/>
          <w:lang w:val="zh-CN"/>
        </w:rPr>
        <w:t>年，完成上级下达的地下水防治任务，确保地下水环境质量不下降</w:t>
      </w:r>
      <w:r>
        <w:rPr>
          <w:rFonts w:ascii="Times New Roman Regular" w:hAnsi="Times New Roman Regular" w:cs="Times New Roman Regular"/>
          <w:szCs w:val="32"/>
          <w:lang w:val="zh-CN"/>
        </w:rPr>
        <w:t>。</w:t>
      </w:r>
    </w:p>
    <w:p w:rsidR="00B373FD">
      <w:pPr>
        <w:pStyle w:val="Heading3"/>
        <w:numPr>
          <w:ilvl w:val="2"/>
          <w:numId w:val="4"/>
        </w:numPr>
        <w:rPr>
          <w:rFonts w:ascii="Times New Roman Regular" w:hAnsi="Times New Roman Regular" w:cs="Times New Roman Regular"/>
        </w:rPr>
      </w:pPr>
      <w:r>
        <w:rPr>
          <w:rFonts w:ascii="Times New Roman Regular" w:hAnsi="Times New Roman Regular" w:cs="Times New Roman Regular"/>
        </w:rPr>
        <w:t>加强污染地块土壤风险管控与治理修复</w:t>
      </w:r>
    </w:p>
    <w:p w:rsidR="00B373FD">
      <w:pPr>
        <w:pStyle w:val="NormalIndent"/>
        <w:spacing w:line="560" w:lineRule="exact"/>
        <w:ind w:firstLine="640" w:firstLineChars="200"/>
        <w:rPr>
          <w:rFonts w:ascii="Times New Roman Regular" w:hAnsi="Times New Roman Regular" w:cs="Times New Roman Regular"/>
          <w:sz w:val="32"/>
          <w:szCs w:val="32"/>
          <w:lang w:val="zh-CN"/>
        </w:rPr>
      </w:pPr>
      <w:r>
        <w:rPr>
          <w:rFonts w:ascii="Times New Roman Regular" w:hAnsi="Times New Roman Regular" w:cs="Times New Roman Regular"/>
          <w:b/>
          <w:bCs/>
          <w:sz w:val="32"/>
          <w:szCs w:val="32"/>
          <w:lang w:val="zh-CN"/>
        </w:rPr>
        <w:t>强化责任落实监管，健全风险管控体系。</w:t>
      </w:r>
      <w:r w:rsidRPr="003E3F54" w:rsidR="003E3F54">
        <w:rPr>
          <w:rFonts w:ascii="Times New Roman Regular" w:hAnsi="Times New Roman Regular" w:cs="Times New Roman Regular" w:hint="eastAsia"/>
          <w:bCs/>
          <w:color w:val="000000"/>
          <w:kern w:val="0"/>
          <w:sz w:val="32"/>
          <w:szCs w:val="32"/>
        </w:rPr>
        <w:t>严格污染地块准入管理，排查从事过有色金属冶炼、化工、电镀、农药、钢铁等重点行业及危险废物利用处置活动等关闭搬迁遗留地块土壤污染状况，特别加强对“四个一批”化工行业整治以及取消化工定位的园区内关停搬迁企业遗留地块的排查，建立污染地块名录及开发利用负面清单，形成全市污染地块“一张图”。加强暂不开发利用地块风险管控，列入建设用地土壤污染风险管控和修复名录的地块，在移出名录前，不得作为住宅、公共管理与公共服务用地。对需要开展治理与修复的污染地块，特别是工业企业搬迁后的遗留地块，由土壤污染责任人或土地使用权人编制污染地块治理与修复工程方案。治理与修复工程完工后，污染地块由土壤污染责任人或土地使用权人委托第三方机构按照国家和省内有关环境标准和技术规范，开展治理与修复效果评估。对暂不开发利用的污染地块，生态环境部门要督促土地使用权人按照国</w:t>
      </w:r>
      <w:r w:rsidRPr="003E3F54" w:rsidR="003E3F54">
        <w:rPr>
          <w:rFonts w:ascii="Times New Roman Regular" w:hAnsi="Times New Roman Regular" w:cs="Times New Roman Regular" w:hint="eastAsia"/>
          <w:bCs/>
          <w:color w:val="000000"/>
          <w:kern w:val="0"/>
          <w:sz w:val="32"/>
          <w:szCs w:val="32"/>
        </w:rPr>
        <w:t>家有关环境标准和技术规范，制定以防止污染扩散为目标的土壤污染风险管控方案，确保污染地块安全利用。</w:t>
      </w:r>
    </w:p>
    <w:p w:rsidR="00B373FD" w:rsidP="00993048">
      <w:pPr>
        <w:ind w:firstLine="640" w:firstLineChars="200"/>
        <w:rPr>
          <w:lang w:val="zh-CN"/>
        </w:rPr>
      </w:pPr>
      <w:r w:rsidRPr="00993048">
        <w:rPr>
          <w:rFonts w:ascii="Times New Roman Regular" w:hAnsi="Times New Roman Regular" w:cs="Times New Roman Regular" w:hint="eastAsia"/>
          <w:b/>
          <w:bCs/>
          <w:szCs w:val="32"/>
          <w:lang w:val="zh-CN"/>
        </w:rPr>
        <w:t>强化建设用地再开发利用联动监管。</w:t>
      </w:r>
      <w:r>
        <w:rPr>
          <w:rFonts w:hint="eastAsia"/>
          <w:szCs w:val="32"/>
        </w:rPr>
        <w:t>推动建立有效的联动监管机制，进一步加强用途变更为住宅、公共管理与公共服务用地等建设用地的再开发利用联动监管工作，严格建设用地再开发利用准入管理。</w:t>
      </w:r>
    </w:p>
    <w:p w:rsidR="00B373FD">
      <w:pPr>
        <w:pStyle w:val="Heading3"/>
        <w:numPr>
          <w:ilvl w:val="2"/>
          <w:numId w:val="4"/>
        </w:numPr>
        <w:rPr>
          <w:rFonts w:ascii="Times New Roman Regular" w:hAnsi="Times New Roman Regular" w:cs="Times New Roman Regular"/>
        </w:rPr>
      </w:pPr>
      <w:r>
        <w:rPr>
          <w:rFonts w:ascii="Times New Roman Regular" w:hAnsi="Times New Roman Regular" w:cs="Times New Roman Regular"/>
        </w:rPr>
        <w:t>提高土壤管理信息化水平</w:t>
      </w:r>
    </w:p>
    <w:p w:rsidR="00B373FD">
      <w:pPr>
        <w:ind w:firstLine="640" w:firstLineChars="200"/>
        <w:rPr>
          <w:rFonts w:ascii="Times New Roman Regular" w:hAnsi="Times New Roman Regular" w:cs="Times New Roman Regular"/>
          <w:szCs w:val="32"/>
          <w:lang w:val="zh-CN"/>
        </w:rPr>
      </w:pPr>
      <w:r w:rsidRPr="003E3F54">
        <w:rPr>
          <w:rFonts w:ascii="Times New Roman Regular" w:hAnsi="Times New Roman Regular" w:cs="Times New Roman Regular"/>
          <w:bCs/>
          <w:szCs w:val="32"/>
          <w:lang w:val="zh-CN"/>
        </w:rPr>
        <w:t>加强土壤污染监控能力建设。</w:t>
      </w:r>
      <w:r>
        <w:rPr>
          <w:rFonts w:ascii="Times New Roman Regular" w:hAnsi="Times New Roman Regular" w:cs="Times New Roman Regular"/>
          <w:szCs w:val="32"/>
          <w:lang w:val="zh-CN"/>
        </w:rPr>
        <w:t>完成土壤环境质量省控监测点位设置，同时建立健全土壤环境质量监测网络，实现土壤环境质量监测点位全覆盖。将土壤环境质量监测纳入常规监测项目，每</w:t>
      </w:r>
      <w:r>
        <w:rPr>
          <w:rFonts w:ascii="Times New Roman Regular" w:hAnsi="Times New Roman Regular" w:cs="Times New Roman Regular"/>
          <w:szCs w:val="32"/>
          <w:lang w:val="zh-CN"/>
        </w:rPr>
        <w:t>5</w:t>
      </w:r>
      <w:r>
        <w:rPr>
          <w:rFonts w:ascii="Times New Roman Regular" w:hAnsi="Times New Roman Regular" w:cs="Times New Roman Regular"/>
          <w:szCs w:val="32"/>
          <w:lang w:val="zh-CN"/>
        </w:rPr>
        <w:t>年完成一次土壤环境质量监测，重点监测土壤中的镉、汞、砷、铅、铬等重金属和多环芳烃、石油烃等有机污染物，各片区根据不同区域特点，提高监测频次，增加特征污染物监测项目。</w:t>
      </w:r>
    </w:p>
    <w:p w:rsidR="00B373FD">
      <w:pPr>
        <w:ind w:firstLine="640" w:firstLineChars="200"/>
        <w:rPr>
          <w:rFonts w:ascii="Times New Roman Regular" w:hAnsi="Times New Roman Regular" w:cs="Times New Roman Regular"/>
          <w:szCs w:val="32"/>
          <w:lang w:val="zh-CN"/>
        </w:rPr>
      </w:pPr>
      <w:r w:rsidRPr="003E3F54">
        <w:rPr>
          <w:rFonts w:ascii="Times New Roman Regular" w:hAnsi="Times New Roman Regular" w:cs="Times New Roman Regular" w:hint="eastAsia"/>
          <w:szCs w:val="32"/>
          <w:lang w:val="zh-CN"/>
        </w:rPr>
        <w:t>根据已掌握的土壤环境质量状况，结合土壤污染状况详查结果，建立完善土壤环境基础数据库，实施全市土壤污染治理与修复项目库动态管理，发挥土壤环境信息化管理平台的大数据服务功能。不断拓宽数据获取渠道，重视数据动态更新，加强数据共享，编制资源共享目录，明确共享权限和方式，增强土壤环境大数据在污染防治、城乡规划、土地利用、农业生产中的作用。</w:t>
      </w:r>
    </w:p>
    <w:p w:rsidR="00B373FD">
      <w:pPr>
        <w:pStyle w:val="Heading2"/>
        <w:numPr>
          <w:ilvl w:val="1"/>
          <w:numId w:val="4"/>
        </w:numPr>
        <w:spacing w:before="156" w:after="156"/>
        <w:rPr>
          <w:rFonts w:ascii="Times New Roman Regular" w:hAnsi="Times New Roman Regular" w:cs="Times New Roman Regular"/>
        </w:rPr>
      </w:pPr>
      <w:bookmarkStart w:id="59" w:name="_Toc77862710"/>
      <w:r>
        <w:rPr>
          <w:rFonts w:ascii="Times New Roman Regular" w:hAnsi="Times New Roman Regular" w:cs="Times New Roman Regular"/>
        </w:rPr>
        <w:t>深化农业农村污染防治</w:t>
      </w:r>
      <w:r>
        <w:rPr>
          <w:rFonts w:ascii="Times New Roman Regular" w:hAnsi="Times New Roman Regular" w:cs="Times New Roman Regular"/>
        </w:rPr>
        <w:t xml:space="preserve"> </w:t>
      </w:r>
      <w:r>
        <w:rPr>
          <w:rFonts w:ascii="Times New Roman Regular" w:hAnsi="Times New Roman Regular" w:cs="Times New Roman Regular"/>
        </w:rPr>
        <w:t>改善农村人居环境</w:t>
      </w:r>
      <w:bookmarkEnd w:id="59"/>
    </w:p>
    <w:p w:rsidR="00B373FD">
      <w:pPr>
        <w:pStyle w:val="Heading3"/>
        <w:numPr>
          <w:ilvl w:val="2"/>
          <w:numId w:val="4"/>
        </w:numPr>
        <w:rPr>
          <w:rFonts w:ascii="Times New Roman Regular" w:hAnsi="Times New Roman Regular" w:cs="Times New Roman Regular"/>
        </w:rPr>
      </w:pPr>
      <w:r>
        <w:rPr>
          <w:rFonts w:ascii="Times New Roman Regular" w:hAnsi="Times New Roman Regular" w:cs="Times New Roman Regular"/>
        </w:rPr>
        <w:t>严格种植污染控制</w:t>
      </w:r>
    </w:p>
    <w:p w:rsidR="00B373FD">
      <w:pPr>
        <w:ind w:firstLine="640" w:firstLineChars="200"/>
        <w:rPr>
          <w:rFonts w:ascii="Times New Roman Regular" w:hAnsi="Times New Roman Regular" w:cs="Times New Roman Regular"/>
          <w:szCs w:val="32"/>
          <w:lang w:val="zh-CN"/>
        </w:rPr>
      </w:pPr>
      <w:r w:rsidRPr="00953426">
        <w:rPr>
          <w:rFonts w:ascii="Times New Roman Regular" w:hAnsi="Times New Roman Regular" w:cs="Times New Roman Regular"/>
          <w:b/>
          <w:szCs w:val="32"/>
          <w:lang w:val="zh-CN"/>
        </w:rPr>
        <w:t>全面禁止秸秆露天焚烧</w:t>
      </w:r>
      <w:r w:rsidRPr="00953426">
        <w:rPr>
          <w:rFonts w:ascii="Times New Roman Regular" w:hAnsi="Times New Roman Regular" w:cs="Times New Roman Regular" w:hint="eastAsia"/>
          <w:b/>
          <w:szCs w:val="32"/>
          <w:lang w:val="zh-CN"/>
        </w:rPr>
        <w:t>。</w:t>
      </w:r>
      <w:r w:rsidRPr="003E3F54" w:rsidR="003E3F54">
        <w:rPr>
          <w:rFonts w:ascii="Times New Roman Regular" w:hAnsi="Times New Roman Regular" w:cs="Times New Roman Regular" w:hint="eastAsia"/>
          <w:szCs w:val="32"/>
          <w:lang w:val="zh-CN"/>
        </w:rPr>
        <w:t>充分利用各种媒体及其它宣传方式，广泛宣传焚烧秸秆危害，引导农民调整种植结构，示范应用秸秆还田技术、保护性耕作新技术，提高禁烧秸秆自觉性。建立健全禁止露天焚烧秸秆的长效管理机制，将秸秆禁烧落实情况与农业各类补贴政策和环保工作考核挂钩。进一步加大秸秆禁烧巡查力度，加强政策扶持和引导，积极依托中央农业资源及生态保护补助（农作物秸秆综合利用试点）项目，秸秆综合利用率稳定在</w:t>
      </w:r>
      <w:r w:rsidRPr="003E3F54" w:rsidR="003E3F54">
        <w:rPr>
          <w:rFonts w:ascii="Times New Roman Regular" w:hAnsi="Times New Roman Regular" w:cs="Times New Roman Regular" w:hint="eastAsia"/>
          <w:szCs w:val="32"/>
          <w:lang w:val="zh-CN"/>
        </w:rPr>
        <w:t>100%</w:t>
      </w:r>
      <w:r w:rsidRPr="003E3F54" w:rsidR="003E3F54">
        <w:rPr>
          <w:rFonts w:ascii="Times New Roman Regular" w:hAnsi="Times New Roman Regular" w:cs="Times New Roman Regular" w:hint="eastAsia"/>
          <w:szCs w:val="32"/>
          <w:lang w:val="zh-CN"/>
        </w:rPr>
        <w:t>，进一步完善秸秆收储社会化服务体系，打造秸秆综合利用“太仓模式”</w:t>
      </w:r>
      <w:r>
        <w:rPr>
          <w:rFonts w:ascii="Times New Roman Regular" w:hAnsi="Times New Roman Regular" w:cs="Times New Roman Regular"/>
          <w:szCs w:val="32"/>
          <w:lang w:val="zh-CN"/>
        </w:rPr>
        <w:t>。</w:t>
      </w:r>
    </w:p>
    <w:p w:rsidR="00B373FD" w:rsidP="00993048">
      <w:pPr>
        <w:pStyle w:val="NoteHeading"/>
        <w:ind w:firstLine="640" w:firstLineChars="200"/>
        <w:jc w:val="left"/>
        <w:rPr>
          <w:color w:val="0D0D0D"/>
        </w:rPr>
      </w:pPr>
      <w:r w:rsidRPr="00953426">
        <w:rPr>
          <w:b/>
          <w:color w:val="0D0D0D"/>
        </w:rPr>
        <w:t>持续推动化肥农药科学施用和水产健康养殖</w:t>
      </w:r>
      <w:r w:rsidRPr="00953426">
        <w:rPr>
          <w:rFonts w:hint="eastAsia"/>
          <w:b/>
          <w:color w:val="0D0D0D"/>
        </w:rPr>
        <w:t>。</w:t>
      </w:r>
      <w:r w:rsidRPr="003E3F54" w:rsidR="003E3F54">
        <w:rPr>
          <w:rFonts w:hint="eastAsia"/>
          <w:color w:val="0D0D0D"/>
        </w:rPr>
        <w:t>推进化肥、农药减量增效，落实《农药包装废弃物回收处理管理办法》，构建农药包装废弃物回收处理体系和机制，全面启动农药包装废弃物回收处理工作，落实农药包装废弃物回收补贴政策</w:t>
      </w:r>
      <w:r>
        <w:rPr>
          <w:rFonts w:hint="eastAsia"/>
          <w:color w:val="0D0D0D"/>
        </w:rPr>
        <w:t>。</w:t>
      </w:r>
    </w:p>
    <w:p w:rsidR="00B373FD">
      <w:pPr>
        <w:pStyle w:val="Heading3"/>
        <w:numPr>
          <w:ilvl w:val="2"/>
          <w:numId w:val="4"/>
        </w:numPr>
        <w:rPr>
          <w:rFonts w:ascii="Times New Roman Regular" w:hAnsi="Times New Roman Regular" w:cs="Times New Roman Regular"/>
        </w:rPr>
      </w:pPr>
      <w:r>
        <w:rPr>
          <w:rFonts w:ascii="Times New Roman Regular" w:hAnsi="Times New Roman Regular" w:cs="Times New Roman Regular"/>
        </w:rPr>
        <w:t>加强畜禽养殖污染治理</w:t>
      </w:r>
    </w:p>
    <w:p w:rsidR="00B373FD">
      <w:pPr>
        <w:ind w:firstLine="640" w:firstLineChars="200"/>
        <w:rPr>
          <w:rFonts w:ascii="Times New Roman Regular" w:hAnsi="Times New Roman Regular" w:cs="Times New Roman Regular"/>
          <w:szCs w:val="32"/>
          <w:lang w:val="zh-CN"/>
        </w:rPr>
      </w:pPr>
      <w:r>
        <w:rPr>
          <w:rFonts w:ascii="Times New Roman Regular" w:hAnsi="Times New Roman Regular" w:cs="Times New Roman Regular"/>
          <w:b/>
          <w:bCs/>
          <w:szCs w:val="32"/>
          <w:lang w:val="zh-CN"/>
        </w:rPr>
        <w:t>严格畜禽养殖环境准入。</w:t>
      </w:r>
      <w:r w:rsidRPr="003E3F54" w:rsidR="003E3F54">
        <w:rPr>
          <w:rFonts w:ascii="Times New Roman Regular" w:hAnsi="Times New Roman Regular" w:cs="Times New Roman Regular" w:hint="eastAsia"/>
          <w:szCs w:val="32"/>
          <w:lang w:val="zh-CN"/>
        </w:rPr>
        <w:t>巩固畜禽养殖禁养区划定和关停成果，全面规范非禁养区内所有养殖场（小区）、养殖专业户养殖行为，新建、改建、扩建畜禽养殖场、养殖小区应建设和完善与养殖规模相配套的粪污收集、贮存、处理和利用设施，并保持正常运行</w:t>
      </w:r>
      <w:r>
        <w:rPr>
          <w:rFonts w:ascii="Times New Roman Regular" w:hAnsi="Times New Roman Regular" w:cs="Times New Roman Regular"/>
          <w:szCs w:val="32"/>
          <w:lang w:val="zh-CN"/>
        </w:rPr>
        <w:t>。</w:t>
      </w:r>
    </w:p>
    <w:p w:rsidR="00B373FD">
      <w:pPr>
        <w:ind w:firstLine="640" w:firstLineChars="200"/>
        <w:rPr>
          <w:rFonts w:ascii="Times New Roman Regular" w:hAnsi="Times New Roman Regular" w:cs="Times New Roman Regular"/>
          <w:szCs w:val="32"/>
          <w:lang w:val="zh-CN"/>
        </w:rPr>
      </w:pPr>
      <w:r>
        <w:rPr>
          <w:rFonts w:ascii="Times New Roman Regular" w:hAnsi="Times New Roman Regular" w:cs="Times New Roman Regular"/>
          <w:b/>
          <w:bCs/>
          <w:szCs w:val="32"/>
          <w:lang w:val="zh-CN"/>
        </w:rPr>
        <w:t>持续推进粪污处理与资源化利用。</w:t>
      </w:r>
      <w:r w:rsidRPr="003E3F54" w:rsidR="003E3F54">
        <w:rPr>
          <w:rFonts w:ascii="Times New Roman Regular" w:hAnsi="Times New Roman Regular" w:cs="Times New Roman Regular" w:hint="eastAsia"/>
          <w:szCs w:val="32"/>
          <w:lang w:val="zh-CN"/>
        </w:rPr>
        <w:t>强化畜禽养殖场（户）配套完善粪污处理与资源化利用设备设施建设，因地制宜推广“户用蓄粪池</w:t>
      </w:r>
      <w:r w:rsidRPr="003E3F54" w:rsidR="003E3F54">
        <w:rPr>
          <w:rFonts w:ascii="Times New Roman Regular" w:hAnsi="Times New Roman Regular" w:cs="Times New Roman Regular" w:hint="eastAsia"/>
          <w:szCs w:val="32"/>
          <w:lang w:val="zh-CN"/>
        </w:rPr>
        <w:t>+</w:t>
      </w:r>
      <w:r w:rsidRPr="003E3F54" w:rsidR="003E3F54">
        <w:rPr>
          <w:rFonts w:ascii="Times New Roman Regular" w:hAnsi="Times New Roman Regular" w:cs="Times New Roman Regular" w:hint="eastAsia"/>
          <w:szCs w:val="32"/>
          <w:lang w:val="zh-CN"/>
        </w:rPr>
        <w:t>田头调节池</w:t>
      </w:r>
      <w:r w:rsidRPr="003E3F54" w:rsidR="003E3F54">
        <w:rPr>
          <w:rFonts w:ascii="Times New Roman Regular" w:hAnsi="Times New Roman Regular" w:cs="Times New Roman Regular" w:hint="eastAsia"/>
          <w:szCs w:val="32"/>
          <w:lang w:val="zh-CN"/>
        </w:rPr>
        <w:t>+</w:t>
      </w:r>
      <w:r w:rsidRPr="003E3F54" w:rsidR="003E3F54">
        <w:rPr>
          <w:rFonts w:ascii="Times New Roman Regular" w:hAnsi="Times New Roman Regular" w:cs="Times New Roman Regular" w:hint="eastAsia"/>
          <w:szCs w:val="32"/>
          <w:lang w:val="zh-CN"/>
        </w:rPr>
        <w:t>大田利用”粪污就地就近全量还田利用模式，进一步提高畜禽粪污处理和综合利用水平。</w:t>
      </w:r>
      <w:r w:rsidRPr="003E3F54" w:rsidR="003E3F54">
        <w:rPr>
          <w:rFonts w:ascii="Times New Roman Regular" w:hAnsi="Times New Roman Regular" w:cs="Times New Roman Regular" w:hint="eastAsia"/>
          <w:szCs w:val="32"/>
          <w:lang w:val="zh-CN"/>
        </w:rPr>
        <w:t>到</w:t>
      </w:r>
      <w:r w:rsidRPr="003E3F54" w:rsidR="003E3F54">
        <w:rPr>
          <w:rFonts w:ascii="Times New Roman Regular" w:hAnsi="Times New Roman Regular" w:cs="Times New Roman Regular" w:hint="eastAsia"/>
          <w:szCs w:val="32"/>
          <w:lang w:val="zh-CN"/>
        </w:rPr>
        <w:t>2025</w:t>
      </w:r>
      <w:r w:rsidRPr="003E3F54" w:rsidR="003E3F54">
        <w:rPr>
          <w:rFonts w:ascii="Times New Roman Regular" w:hAnsi="Times New Roman Regular" w:cs="Times New Roman Regular" w:hint="eastAsia"/>
          <w:szCs w:val="32"/>
          <w:lang w:val="zh-CN"/>
        </w:rPr>
        <w:t>年，规模养殖场粪污处理设施装备配套率保持</w:t>
      </w:r>
      <w:r w:rsidRPr="003E3F54" w:rsidR="003E3F54">
        <w:rPr>
          <w:rFonts w:ascii="Times New Roman Regular" w:hAnsi="Times New Roman Regular" w:cs="Times New Roman Regular" w:hint="eastAsia"/>
          <w:szCs w:val="32"/>
          <w:lang w:val="zh-CN"/>
        </w:rPr>
        <w:t>100%</w:t>
      </w:r>
      <w:r w:rsidRPr="003E3F54" w:rsidR="003E3F54">
        <w:rPr>
          <w:rFonts w:ascii="Times New Roman Regular" w:hAnsi="Times New Roman Regular" w:cs="Times New Roman Regular" w:hint="eastAsia"/>
          <w:szCs w:val="32"/>
          <w:lang w:val="zh-CN"/>
        </w:rPr>
        <w:t>，畜禽养殖场户治理率保持</w:t>
      </w:r>
      <w:r w:rsidRPr="003E3F54" w:rsidR="003E3F54">
        <w:rPr>
          <w:rFonts w:ascii="Times New Roman Regular" w:hAnsi="Times New Roman Regular" w:cs="Times New Roman Regular" w:hint="eastAsia"/>
          <w:szCs w:val="32"/>
          <w:lang w:val="zh-CN"/>
        </w:rPr>
        <w:t>100%</w:t>
      </w:r>
      <w:r>
        <w:rPr>
          <w:rFonts w:ascii="Times New Roman Regular" w:hAnsi="Times New Roman Regular" w:cs="Times New Roman Regular"/>
          <w:szCs w:val="32"/>
          <w:lang w:val="zh-CN"/>
        </w:rPr>
        <w:t>。</w:t>
      </w:r>
    </w:p>
    <w:p w:rsidR="00B373FD">
      <w:pPr>
        <w:ind w:firstLine="640" w:firstLineChars="200"/>
        <w:rPr>
          <w:rFonts w:ascii="Times New Roman Regular" w:hAnsi="Times New Roman Regular" w:cs="Times New Roman Regular"/>
          <w:color w:val="000000"/>
          <w:szCs w:val="32"/>
        </w:rPr>
      </w:pPr>
      <w:r>
        <w:rPr>
          <w:rFonts w:ascii="Times New Roman Regular" w:hAnsi="Times New Roman Regular" w:cs="Times New Roman Regular"/>
          <w:b/>
          <w:bCs/>
          <w:szCs w:val="32"/>
          <w:lang w:val="zh-CN"/>
        </w:rPr>
        <w:t>强化畜禽养殖污染监管。</w:t>
      </w:r>
      <w:r w:rsidR="003E3F54">
        <w:rPr>
          <w:szCs w:val="32"/>
          <w:lang w:val="zh-CN"/>
        </w:rPr>
        <w:t>对设有污水排污口的规模化畜禽养殖场、养殖小区，依法核发排污许可证，依法严格监管；对种养结合、生态消纳的畜禽规模养殖场，</w:t>
      </w:r>
      <w:r w:rsidR="003E3F54">
        <w:rPr>
          <w:rFonts w:ascii="Times New Roman Regular" w:hAnsi="Times New Roman Regular" w:cs="Times New Roman Regular" w:hint="eastAsia"/>
          <w:szCs w:val="32"/>
        </w:rPr>
        <w:t>加强对规模化养殖场粪污的重金属监测，</w:t>
      </w:r>
      <w:r w:rsidR="003E3F54">
        <w:t>推进畜禽粪污资源化利用，有序推进畜禽粪污专业化集中处理，培育壮大多种类型的粪污处理社会化服务组织，因地制宜推广粪污全量收集还田等模式。</w:t>
      </w:r>
    </w:p>
    <w:p w:rsidR="00B373FD">
      <w:pPr>
        <w:pStyle w:val="Heading3"/>
        <w:numPr>
          <w:ilvl w:val="2"/>
          <w:numId w:val="4"/>
        </w:numPr>
        <w:rPr>
          <w:rFonts w:ascii="Times New Roman Regular" w:hAnsi="Times New Roman Regular" w:cs="Times New Roman Regular"/>
        </w:rPr>
      </w:pPr>
      <w:r>
        <w:rPr>
          <w:rFonts w:ascii="Times New Roman Regular" w:hAnsi="Times New Roman Regular" w:cs="Times New Roman Regular"/>
        </w:rPr>
        <w:t>提升农村人居环境品质</w:t>
      </w:r>
    </w:p>
    <w:p w:rsidR="00B373FD">
      <w:pPr>
        <w:ind w:firstLine="640" w:firstLineChars="200"/>
        <w:rPr>
          <w:rFonts w:ascii="Times New Roman Regular" w:hAnsi="Times New Roman Regular" w:cs="Times New Roman Regular"/>
          <w:lang w:val="zh-CN"/>
        </w:rPr>
      </w:pPr>
      <w:r>
        <w:rPr>
          <w:szCs w:val="32"/>
          <w:lang w:val="zh-CN"/>
        </w:rPr>
        <w:t>实施农村人居环境质量提升工程，培育一批农村人居环境示范镇、示范村。推行农村生活垃圾就地分类和资源化利用，完善农村生活污水治理体系。加强农村河道轮浚。打造</w:t>
      </w:r>
      <w:r>
        <w:rPr>
          <w:szCs w:val="32"/>
          <w:lang w:val="zh-CN"/>
        </w:rPr>
        <w:t>“</w:t>
      </w:r>
      <w:r>
        <w:rPr>
          <w:szCs w:val="32"/>
          <w:lang w:val="zh-CN"/>
        </w:rPr>
        <w:t>金仓丝路</w:t>
      </w:r>
      <w:r>
        <w:rPr>
          <w:szCs w:val="32"/>
          <w:lang w:val="zh-CN"/>
        </w:rPr>
        <w:t>”</w:t>
      </w:r>
      <w:r>
        <w:rPr>
          <w:szCs w:val="32"/>
          <w:lang w:val="zh-CN"/>
        </w:rPr>
        <w:t>特色品牌，争创</w:t>
      </w:r>
      <w:r>
        <w:rPr>
          <w:szCs w:val="32"/>
          <w:lang w:val="zh-CN"/>
        </w:rPr>
        <w:t>“</w:t>
      </w:r>
      <w:r>
        <w:rPr>
          <w:szCs w:val="32"/>
          <w:lang w:val="zh-CN"/>
        </w:rPr>
        <w:t>四好农村路</w:t>
      </w:r>
      <w:r>
        <w:rPr>
          <w:szCs w:val="32"/>
          <w:lang w:val="zh-CN"/>
        </w:rPr>
        <w:t>”</w:t>
      </w:r>
      <w:r>
        <w:rPr>
          <w:szCs w:val="32"/>
          <w:lang w:val="zh-CN"/>
        </w:rPr>
        <w:t>全国示范县。实施</w:t>
      </w:r>
      <w:r>
        <w:rPr>
          <w:szCs w:val="32"/>
          <w:lang w:val="zh-CN"/>
        </w:rPr>
        <w:t>“</w:t>
      </w:r>
      <w:r>
        <w:rPr>
          <w:szCs w:val="32"/>
          <w:lang w:val="zh-CN"/>
        </w:rPr>
        <w:t>光网乡村</w:t>
      </w:r>
      <w:r>
        <w:rPr>
          <w:szCs w:val="32"/>
          <w:lang w:val="zh-CN"/>
        </w:rPr>
        <w:t>”</w:t>
      </w:r>
      <w:r>
        <w:rPr>
          <w:szCs w:val="32"/>
          <w:lang w:val="zh-CN"/>
        </w:rPr>
        <w:t>工程，开展</w:t>
      </w:r>
      <w:r>
        <w:rPr>
          <w:szCs w:val="32"/>
          <w:lang w:val="zh-CN"/>
        </w:rPr>
        <w:t>5G</w:t>
      </w:r>
      <w:r>
        <w:rPr>
          <w:szCs w:val="32"/>
          <w:lang w:val="zh-CN"/>
        </w:rPr>
        <w:t>网络规划、建设和应用。构建由特色精品乡村、特色康居乡村、特色宜居乡村三类建设标准组成的特色田园乡村建设体系。到</w:t>
      </w:r>
      <w:r>
        <w:rPr>
          <w:szCs w:val="32"/>
          <w:lang w:val="zh-CN"/>
        </w:rPr>
        <w:t>2022</w:t>
      </w:r>
      <w:r>
        <w:rPr>
          <w:szCs w:val="32"/>
          <w:lang w:val="zh-CN"/>
        </w:rPr>
        <w:t>年底，全市培育建设</w:t>
      </w:r>
      <w:r>
        <w:rPr>
          <w:szCs w:val="32"/>
          <w:lang w:val="zh-CN"/>
        </w:rPr>
        <w:t>1</w:t>
      </w:r>
      <w:r>
        <w:rPr>
          <w:szCs w:val="32"/>
          <w:lang w:val="zh-CN"/>
        </w:rPr>
        <w:t>个特色精品示范区、</w:t>
      </w:r>
      <w:r>
        <w:rPr>
          <w:szCs w:val="32"/>
          <w:lang w:val="zh-CN"/>
        </w:rPr>
        <w:t>14</w:t>
      </w:r>
      <w:r>
        <w:rPr>
          <w:szCs w:val="32"/>
          <w:lang w:val="zh-CN"/>
        </w:rPr>
        <w:t>个特色精品乡村，集聚提升类和特色保护类村庄基本建成特色康居乡村，城郊融合类和其他一般类村庄基本建成特色宜居乡村</w:t>
      </w:r>
      <w:r>
        <w:rPr>
          <w:rFonts w:hint="eastAsia"/>
          <w:szCs w:val="32"/>
          <w:lang w:val="zh-CN"/>
        </w:rPr>
        <w:t>。</w:t>
      </w:r>
      <w:r>
        <w:rPr>
          <w:szCs w:val="32"/>
          <w:lang w:val="zh-CN"/>
        </w:rPr>
        <w:t>开展一批美丽宜居乡村建设，到</w:t>
      </w:r>
      <w:r>
        <w:rPr>
          <w:szCs w:val="32"/>
          <w:lang w:val="zh-CN"/>
        </w:rPr>
        <w:t>2025</w:t>
      </w:r>
      <w:r>
        <w:rPr>
          <w:szCs w:val="32"/>
          <w:lang w:val="zh-CN"/>
        </w:rPr>
        <w:t>年，全市域初步建成生态宜居的美丽乡村</w:t>
      </w:r>
      <w:r>
        <w:rPr>
          <w:rFonts w:hint="eastAsia"/>
          <w:szCs w:val="32"/>
          <w:lang w:val="zh-CN"/>
        </w:rPr>
        <w:t>。</w:t>
      </w:r>
    </w:p>
    <w:p w:rsidR="00B373FD">
      <w:pPr>
        <w:pStyle w:val="Heading2"/>
        <w:numPr>
          <w:ilvl w:val="1"/>
          <w:numId w:val="4"/>
        </w:numPr>
        <w:spacing w:before="156" w:after="156"/>
        <w:rPr>
          <w:rFonts w:ascii="Times New Roman Regular" w:hAnsi="Times New Roman Regular" w:cs="Times New Roman Regular"/>
        </w:rPr>
      </w:pPr>
      <w:bookmarkStart w:id="60" w:name="_Toc77862711"/>
      <w:r>
        <w:rPr>
          <w:rFonts w:ascii="Times New Roman Regular" w:hAnsi="Times New Roman Regular" w:cs="Times New Roman Regular"/>
        </w:rPr>
        <w:t>强化自然生态系统保护</w:t>
      </w:r>
      <w:r>
        <w:rPr>
          <w:rFonts w:ascii="Times New Roman Regular" w:hAnsi="Times New Roman Regular" w:cs="Times New Roman Regular"/>
        </w:rPr>
        <w:t xml:space="preserve">  </w:t>
      </w:r>
      <w:r>
        <w:rPr>
          <w:rFonts w:ascii="Times New Roman Regular" w:hAnsi="Times New Roman Regular" w:cs="Times New Roman Regular"/>
        </w:rPr>
        <w:t>提升生态服务功能</w:t>
      </w:r>
      <w:bookmarkEnd w:id="60"/>
    </w:p>
    <w:p w:rsidR="00B373FD">
      <w:pPr>
        <w:pStyle w:val="Heading3"/>
        <w:numPr>
          <w:ilvl w:val="2"/>
          <w:numId w:val="4"/>
        </w:numPr>
        <w:rPr>
          <w:rFonts w:ascii="Times New Roman Regular" w:hAnsi="Times New Roman Regular" w:cs="Times New Roman Regular"/>
        </w:rPr>
      </w:pPr>
      <w:r>
        <w:rPr>
          <w:rFonts w:ascii="Times New Roman Regular" w:hAnsi="Times New Roman Regular" w:cs="Times New Roman Regular"/>
        </w:rPr>
        <w:t>强化生态空间保护与管控</w:t>
      </w:r>
    </w:p>
    <w:p w:rsidR="00B373FD">
      <w:pPr>
        <w:adjustRightInd w:val="0"/>
        <w:snapToGrid w:val="0"/>
        <w:ind w:firstLine="640" w:firstLineChars="200"/>
        <w:rPr>
          <w:rFonts w:ascii="Times New Roman Regular" w:hAnsi="Times New Roman Regular" w:cs="Times New Roman Regular"/>
          <w:color w:val="00B0F0"/>
          <w:szCs w:val="32"/>
        </w:rPr>
      </w:pPr>
      <w:r>
        <w:rPr>
          <w:rFonts w:ascii="Times New Roman Regular" w:hAnsi="Times New Roman Regular" w:cs="Times New Roman Regular"/>
          <w:szCs w:val="32"/>
          <w:lang w:val="zh-CN"/>
        </w:rPr>
        <w:t>协调三区三线管控，统筹划定生态保护红线、永久基本</w:t>
      </w:r>
      <w:r>
        <w:rPr>
          <w:rFonts w:ascii="Times New Roman Regular" w:hAnsi="Times New Roman Regular" w:cs="Times New Roman Regular"/>
          <w:szCs w:val="32"/>
          <w:lang w:val="zh-CN"/>
        </w:rPr>
        <w:t>农田保护线和城镇开发边界的三条控制线，形成全市国土空间开发保护</w:t>
      </w:r>
      <w:r>
        <w:rPr>
          <w:rFonts w:ascii="Times New Roman Regular" w:hAnsi="Times New Roman Regular" w:cs="Times New Roman Regular"/>
          <w:szCs w:val="32"/>
          <w:lang w:val="zh-CN"/>
        </w:rPr>
        <w:t>“</w:t>
      </w:r>
      <w:r>
        <w:rPr>
          <w:rFonts w:ascii="Times New Roman Regular" w:hAnsi="Times New Roman Regular" w:cs="Times New Roman Regular"/>
          <w:szCs w:val="32"/>
          <w:lang w:val="zh-CN"/>
        </w:rPr>
        <w:t>一张图</w:t>
      </w:r>
      <w:r>
        <w:rPr>
          <w:rFonts w:ascii="Times New Roman Regular" w:hAnsi="Times New Roman Regular" w:cs="Times New Roman Regular"/>
          <w:szCs w:val="32"/>
          <w:lang w:val="zh-CN"/>
        </w:rPr>
        <w:t>”</w:t>
      </w:r>
      <w:r>
        <w:rPr>
          <w:rFonts w:ascii="Times New Roman Regular" w:hAnsi="Times New Roman Regular" w:cs="Times New Roman Regular"/>
          <w:szCs w:val="32"/>
          <w:lang w:val="zh-CN"/>
        </w:rPr>
        <w:t>，作为调整经济结构、规划产业发展、推进城镇化不可逾越的红线。严格生态保护红线和生态空间管控区域保护，实施严格管理，确保具有重要生态功能的区域、重要生态系统以及主要物种得到有效保护。依法禁止或限制开发建设活动，确保生态环境功能不降低、面积不减少、性质不改变。加强生态红线区域和生态空间管控区域监督管理，鼓励实施</w:t>
      </w:r>
      <w:r>
        <w:rPr>
          <w:rFonts w:ascii="Times New Roman Regular" w:hAnsi="Times New Roman Regular" w:cs="Times New Roman Regular"/>
          <w:szCs w:val="32"/>
          <w:lang w:val="zh-CN"/>
        </w:rPr>
        <w:t>“</w:t>
      </w:r>
      <w:r>
        <w:rPr>
          <w:rFonts w:ascii="Times New Roman Regular" w:hAnsi="Times New Roman Regular" w:cs="Times New Roman Regular"/>
          <w:szCs w:val="32"/>
          <w:lang w:val="zh-CN"/>
        </w:rPr>
        <w:t>一区一策</w:t>
      </w:r>
      <w:r>
        <w:rPr>
          <w:rFonts w:ascii="Times New Roman Regular" w:hAnsi="Times New Roman Regular" w:cs="Times New Roman Regular"/>
          <w:szCs w:val="32"/>
          <w:lang w:val="zh-CN"/>
        </w:rPr>
        <w:t>”</w:t>
      </w:r>
      <w:r>
        <w:rPr>
          <w:rFonts w:ascii="Times New Roman Regular" w:hAnsi="Times New Roman Regular" w:cs="Times New Roman Regular"/>
          <w:szCs w:val="32"/>
          <w:lang w:val="zh-CN"/>
        </w:rPr>
        <w:t>生态保护与功能提升工程，优先开展生态功能受损地区生态保护修复活动，恢复生态服务功能。完善生态红线区域和生态空间管控区域监管考核及生态补偿转移支付制度，统筹生态保护空间划定，增强生态空间整体性和连通性。</w:t>
      </w:r>
    </w:p>
    <w:p w:rsidR="00B373FD">
      <w:pPr>
        <w:pStyle w:val="Heading3"/>
        <w:numPr>
          <w:ilvl w:val="2"/>
          <w:numId w:val="4"/>
        </w:numPr>
        <w:rPr>
          <w:rFonts w:ascii="Times New Roman Regular" w:hAnsi="Times New Roman Regular" w:cs="Times New Roman Regular"/>
        </w:rPr>
      </w:pPr>
      <w:r>
        <w:rPr>
          <w:rFonts w:ascii="Times New Roman Regular" w:hAnsi="Times New Roman Regular" w:cs="Times New Roman Regular"/>
        </w:rPr>
        <w:t>加强自然保护地和湿地保护体系建设</w:t>
      </w:r>
    </w:p>
    <w:p w:rsidR="00B373FD">
      <w:pPr>
        <w:adjustRightInd w:val="0"/>
        <w:snapToGrid w:val="0"/>
        <w:ind w:firstLine="640" w:firstLineChars="200"/>
        <w:rPr>
          <w:rFonts w:ascii="Times New Roman Regular" w:hAnsi="Times New Roman Regular" w:cs="Times New Roman Regular"/>
        </w:rPr>
      </w:pPr>
      <w:r>
        <w:rPr>
          <w:rFonts w:ascii="Times New Roman Regular" w:hAnsi="Times New Roman Regular" w:cs="Times New Roman Regular"/>
          <w:b/>
          <w:bCs/>
          <w:color w:val="000000"/>
          <w:szCs w:val="32"/>
        </w:rPr>
        <w:t>加强自然保护地管理体系建设。</w:t>
      </w:r>
      <w:r>
        <w:rPr>
          <w:rFonts w:ascii="Times New Roman Regular" w:hAnsi="Times New Roman Regular" w:cs="Times New Roman Regular"/>
          <w:color w:val="000000"/>
          <w:szCs w:val="32"/>
        </w:rPr>
        <w:t>摸清辖区内各级各类自然保护地底数，科学评估自然保护地现状与管护成效，对自然保护地的保护范围、保护对象、资源价值、重叠情况等内容，以及生物的多样性、生态敏感性等进行论证，整合优化自然保护地。持续完善全市自然保护地资源统一动态监管体系，提升数字化监管能力，精确反映全市勘界定标工作成果。推进自然保护地的自然资源统一确权登记。结合</w:t>
      </w:r>
      <w:r>
        <w:rPr>
          <w:rFonts w:ascii="Times New Roman Regular" w:hAnsi="Times New Roman Regular" w:cs="Times New Roman Regular"/>
          <w:color w:val="000000"/>
          <w:szCs w:val="32"/>
        </w:rPr>
        <w:t>“</w:t>
      </w:r>
      <w:r>
        <w:rPr>
          <w:rFonts w:ascii="Times New Roman Regular" w:hAnsi="Times New Roman Regular" w:cs="Times New Roman Regular"/>
          <w:color w:val="000000"/>
          <w:szCs w:val="32"/>
        </w:rPr>
        <w:t>绿盾</w:t>
      </w:r>
      <w:r>
        <w:rPr>
          <w:rFonts w:ascii="Times New Roman Regular" w:hAnsi="Times New Roman Regular" w:cs="Times New Roman Regular"/>
          <w:color w:val="000000"/>
          <w:szCs w:val="32"/>
        </w:rPr>
        <w:t>”</w:t>
      </w:r>
      <w:r>
        <w:rPr>
          <w:rFonts w:ascii="Times New Roman Regular" w:hAnsi="Times New Roman Regular" w:cs="Times New Roman Regular"/>
          <w:color w:val="000000"/>
          <w:szCs w:val="32"/>
        </w:rPr>
        <w:t>行动，动态监管并及时发现、核实在自然保护地内不符合相关法规要求的违法违规情况，及时反馈整改情况。探索开展自然保护小区研究、规划、建设及监测等工作。健全自然保护地评估体系，持续开展自然保护地整合优化</w:t>
      </w:r>
      <w:r>
        <w:rPr>
          <w:rFonts w:ascii="Times New Roman Regular" w:hAnsi="Times New Roman Regular" w:cs="Times New Roman Regular"/>
          <w:bCs/>
          <w:color w:val="000000"/>
          <w:szCs w:val="32"/>
        </w:rPr>
        <w:t>和保护成效评估。</w:t>
      </w:r>
      <w:r>
        <w:rPr>
          <w:rFonts w:ascii="Times New Roman Regular" w:hAnsi="Times New Roman Regular" w:cs="Times New Roman Regular"/>
          <w:color w:val="000000"/>
          <w:szCs w:val="32"/>
        </w:rPr>
        <w:t>进一步</w:t>
      </w:r>
      <w:r>
        <w:rPr>
          <w:rFonts w:ascii="Times New Roman Regular" w:hAnsi="Times New Roman Regular" w:cs="Times New Roman Regular"/>
          <w:bCs/>
          <w:color w:val="000000"/>
          <w:kern w:val="0"/>
          <w:szCs w:val="32"/>
        </w:rPr>
        <w:t>推动自然保护地规划编制工作，逐步解决自然保护地交叉重叠、分区不明等历史遗留问题。</w:t>
      </w:r>
    </w:p>
    <w:p w:rsidR="00B373FD">
      <w:pPr>
        <w:adjustRightInd w:val="0"/>
        <w:snapToGrid w:val="0"/>
        <w:ind w:firstLine="640" w:firstLineChars="200"/>
        <w:rPr>
          <w:rFonts w:ascii="Times New Roman Regular" w:eastAsia="楷体_GB2312" w:hAnsi="Times New Roman Regular" w:cs="Times New Roman Regular"/>
        </w:rPr>
      </w:pPr>
      <w:r>
        <w:rPr>
          <w:rFonts w:ascii="Times New Roman Regular" w:hAnsi="Times New Roman Regular" w:cs="Times New Roman Regular"/>
          <w:b/>
          <w:bCs/>
          <w:color w:val="000000"/>
          <w:szCs w:val="32"/>
        </w:rPr>
        <w:t>加强湿地生态系统保护修复。</w:t>
      </w:r>
      <w:r>
        <w:rPr>
          <w:rFonts w:ascii="Times New Roman Regular" w:hAnsi="Times New Roman Regular" w:cs="Times New Roman Regular"/>
          <w:color w:val="000000"/>
          <w:szCs w:val="32"/>
        </w:rPr>
        <w:t>补充一般湿地名录，做好省级重要湿地认定工作，逐步建立分级管理、分类保护和恢复的湿地保护管理体系。高标准建设双凤湿地、长江江滩湿地、澜贝湖、雁月湖等河湖湿地。对集中连片、破碎化严重、功能退化的自然湿地进行修复和综合整治规划以落实湿地面积总量管控；针对全市河流、农业种养殖区或居民集中区净化沟渠、塘以及其它小型湿地，针对性开展湿地修复，实行湿地资源总量控制，确保湿地面积不减少，到</w:t>
      </w:r>
      <w:r>
        <w:rPr>
          <w:rFonts w:ascii="Times New Roman Regular" w:hAnsi="Times New Roman Regular" w:cs="Times New Roman Regular"/>
          <w:color w:val="000000"/>
          <w:szCs w:val="32"/>
        </w:rPr>
        <w:t>2025</w:t>
      </w:r>
      <w:r>
        <w:rPr>
          <w:rFonts w:ascii="Times New Roman Regular" w:hAnsi="Times New Roman Regular" w:cs="Times New Roman Regular"/>
          <w:color w:val="000000"/>
          <w:szCs w:val="32"/>
        </w:rPr>
        <w:t>年，全市自然湿地保护率</w:t>
      </w:r>
      <w:r w:rsidR="00235404">
        <w:rPr>
          <w:rFonts w:ascii="Times New Roman Regular" w:hAnsi="Times New Roman Regular" w:cs="Times New Roman Regular"/>
          <w:color w:val="000000"/>
          <w:szCs w:val="32"/>
        </w:rPr>
        <w:t>不降低</w:t>
      </w:r>
      <w:r>
        <w:rPr>
          <w:rFonts w:ascii="Times New Roman Regular" w:hAnsi="Times New Roman Regular" w:cs="Times New Roman Regular"/>
          <w:color w:val="000000"/>
          <w:szCs w:val="32"/>
        </w:rPr>
        <w:t>。</w:t>
      </w:r>
    </w:p>
    <w:p w:rsidR="00B373FD">
      <w:pPr>
        <w:pStyle w:val="Heading3"/>
        <w:numPr>
          <w:ilvl w:val="2"/>
          <w:numId w:val="4"/>
        </w:numPr>
        <w:rPr>
          <w:rFonts w:ascii="Times New Roman Regular" w:hAnsi="Times New Roman Regular" w:cs="Times New Roman Regular"/>
        </w:rPr>
      </w:pPr>
      <w:r>
        <w:rPr>
          <w:rFonts w:ascii="Times New Roman Regular" w:hAnsi="Times New Roman Regular" w:cs="Times New Roman Regular"/>
        </w:rPr>
        <w:t>加强生物多样性保护</w:t>
      </w:r>
    </w:p>
    <w:p w:rsidR="00B373FD">
      <w:pPr>
        <w:adjustRightInd w:val="0"/>
        <w:snapToGrid w:val="0"/>
        <w:ind w:firstLine="640" w:firstLineChars="200"/>
        <w:rPr>
          <w:rFonts w:ascii="Times New Roman Regular" w:hAnsi="Times New Roman Regular" w:cs="Times New Roman Regular"/>
          <w:color w:val="000000"/>
          <w:szCs w:val="32"/>
        </w:rPr>
      </w:pPr>
      <w:r>
        <w:rPr>
          <w:rFonts w:ascii="Times New Roman Regular" w:hAnsi="Times New Roman Regular" w:cs="Times New Roman Regular"/>
          <w:lang w:val="zh-CN"/>
        </w:rPr>
        <w:t>以长江为重点区域，对列入国家、省级重点保护名录中的野生动植物开展全面细致的本底资源调查，配合编制苏州市生物多样性物种保护目录，对物种濒危情况、生境胁迫情况、物种间的消长规律等开展系统研究。依托现有生物多样性的监测力量，加强生物多样性监测监控预警能力建设，强化生物丰度、植被覆盖率、土地退化、水网密度等生态环境状况指标监测。对重要生态系统和生物种类的分布格局、变化趋势、保护现状及存在问题进行全面评估，适时发布综合评估报告。防控外来物种入侵，开展重点区域外来入侵物种监测预警和阻截带建设，加强出入境检验检疫工作，从源头上将外来有害入侵物种拒之于</w:t>
      </w:r>
      <w:r>
        <w:rPr>
          <w:rFonts w:ascii="Times New Roman Regular" w:hAnsi="Times New Roman Regular" w:cs="Times New Roman Regular"/>
          <w:lang w:val="zh-CN"/>
        </w:rPr>
        <w:t>“</w:t>
      </w:r>
      <w:r>
        <w:rPr>
          <w:rFonts w:ascii="Times New Roman Regular" w:hAnsi="Times New Roman Regular" w:cs="Times New Roman Regular"/>
          <w:lang w:val="zh-CN"/>
        </w:rPr>
        <w:t>国门</w:t>
      </w:r>
      <w:r>
        <w:rPr>
          <w:rFonts w:ascii="Times New Roman Regular" w:hAnsi="Times New Roman Regular" w:cs="Times New Roman Regular"/>
          <w:lang w:val="zh-CN"/>
        </w:rPr>
        <w:t>”</w:t>
      </w:r>
      <w:r>
        <w:rPr>
          <w:rFonts w:ascii="Times New Roman Regular" w:hAnsi="Times New Roman Regular" w:cs="Times New Roman Regular"/>
          <w:lang w:val="zh-CN"/>
        </w:rPr>
        <w:t>、</w:t>
      </w:r>
      <w:r>
        <w:rPr>
          <w:rFonts w:ascii="Times New Roman Regular" w:hAnsi="Times New Roman Regular" w:cs="Times New Roman Regular"/>
          <w:lang w:val="zh-CN"/>
        </w:rPr>
        <w:t>“</w:t>
      </w:r>
      <w:r>
        <w:rPr>
          <w:rFonts w:ascii="Times New Roman Regular" w:hAnsi="Times New Roman Regular" w:cs="Times New Roman Regular"/>
          <w:lang w:val="zh-CN"/>
        </w:rPr>
        <w:t>市门</w:t>
      </w:r>
      <w:r>
        <w:rPr>
          <w:rFonts w:ascii="Times New Roman Regular" w:hAnsi="Times New Roman Regular" w:cs="Times New Roman Regular"/>
          <w:lang w:val="zh-CN"/>
        </w:rPr>
        <w:t>”</w:t>
      </w:r>
      <w:r>
        <w:rPr>
          <w:rFonts w:ascii="Times New Roman Regular" w:hAnsi="Times New Roman Regular" w:cs="Times New Roman Regular"/>
          <w:lang w:val="zh-CN"/>
        </w:rPr>
        <w:t>之外。</w:t>
      </w:r>
    </w:p>
    <w:p w:rsidR="00B373FD">
      <w:pPr>
        <w:pStyle w:val="Heading3"/>
        <w:numPr>
          <w:ilvl w:val="2"/>
          <w:numId w:val="4"/>
        </w:numPr>
        <w:rPr>
          <w:rFonts w:ascii="Times New Roman Regular" w:hAnsi="Times New Roman Regular" w:cs="Times New Roman Regular"/>
        </w:rPr>
      </w:pPr>
      <w:r>
        <w:rPr>
          <w:rFonts w:ascii="Times New Roman Regular" w:hAnsi="Times New Roman Regular" w:cs="Times New Roman Regular"/>
        </w:rPr>
        <w:t>持续推进绿色太仓建设</w:t>
      </w:r>
    </w:p>
    <w:p w:rsidR="00B373FD">
      <w:pPr>
        <w:ind w:firstLine="640" w:firstLineChars="200"/>
        <w:rPr>
          <w:rFonts w:ascii="Times New Roman Regular" w:eastAsia="仿宋" w:hAnsi="Times New Roman Regular" w:cs="Times New Roman Regular"/>
          <w:szCs w:val="32"/>
        </w:rPr>
      </w:pPr>
      <w:r>
        <w:rPr>
          <w:rFonts w:ascii="Times New Roman Regular" w:hAnsi="Times New Roman Regular" w:cs="Times New Roman Regular"/>
          <w:szCs w:val="32"/>
          <w:lang w:val="zh-CN"/>
        </w:rPr>
        <w:t>持续提高森林资源总量。建设长江生态防护林工程，深入领会习近平总书记</w:t>
      </w:r>
      <w:r>
        <w:rPr>
          <w:rFonts w:ascii="Times New Roman Regular" w:hAnsi="Times New Roman Regular" w:cs="Times New Roman Regular"/>
          <w:szCs w:val="32"/>
          <w:lang w:val="zh-CN"/>
        </w:rPr>
        <w:t>“</w:t>
      </w:r>
      <w:r>
        <w:rPr>
          <w:rFonts w:ascii="Times New Roman Regular" w:hAnsi="Times New Roman Regular" w:cs="Times New Roman Regular"/>
          <w:szCs w:val="32"/>
          <w:lang w:val="zh-CN"/>
        </w:rPr>
        <w:t>共抓大保护、不搞大开发</w:t>
      </w:r>
      <w:r>
        <w:rPr>
          <w:rFonts w:ascii="Times New Roman Regular" w:hAnsi="Times New Roman Regular" w:cs="Times New Roman Regular"/>
          <w:szCs w:val="32"/>
          <w:lang w:val="zh-CN"/>
        </w:rPr>
        <w:t>”</w:t>
      </w:r>
      <w:r>
        <w:rPr>
          <w:rFonts w:ascii="Times New Roman Regular" w:hAnsi="Times New Roman Regular" w:cs="Times New Roman Regular"/>
          <w:szCs w:val="32"/>
          <w:lang w:val="zh-CN"/>
        </w:rPr>
        <w:t>重要指示精神，增加长江沿线森林覆盖，扩大生态容量，构筑护堤护岸屏障。建设森林经营工程，以增加森林资源、增强森林综合功能和效益为出发点，开展中幼林抚育，逐步优化森林结构，提高森林质量，为太仓绿色发展提供支撑和保障。建设生态公益林保护工程。根据森林分类经营的要求，对现有已划定省级</w:t>
      </w:r>
      <w:r w:rsidR="003870C7">
        <w:rPr>
          <w:rFonts w:ascii="Times New Roman Regular" w:hAnsi="Times New Roman Regular" w:cs="Times New Roman Regular"/>
          <w:szCs w:val="32"/>
          <w:lang w:val="zh-CN"/>
        </w:rPr>
        <w:t>以上</w:t>
      </w:r>
      <w:r>
        <w:rPr>
          <w:rFonts w:ascii="Times New Roman Regular" w:hAnsi="Times New Roman Regular" w:cs="Times New Roman Regular"/>
          <w:szCs w:val="32"/>
          <w:lang w:val="zh-CN"/>
        </w:rPr>
        <w:t>重点生态公益林实施全面管护。</w:t>
      </w:r>
    </w:p>
    <w:p w:rsidR="00B373FD">
      <w:pPr>
        <w:ind w:firstLine="640" w:firstLineChars="200"/>
        <w:rPr>
          <w:rFonts w:ascii="Times New Roman Regular" w:hAnsi="Times New Roman Regular" w:cs="Times New Roman Regular"/>
          <w:szCs w:val="32"/>
          <w:lang w:val="zh-CN"/>
        </w:rPr>
      </w:pPr>
      <w:r>
        <w:rPr>
          <w:rFonts w:ascii="Times New Roman Regular" w:hAnsi="Times New Roman Regular" w:cs="Times New Roman Regular"/>
          <w:szCs w:val="32"/>
          <w:lang w:val="zh-CN"/>
        </w:rPr>
        <w:t>积极创建生态文明示范基地、生态工业园区、国家生态园林城市、绿色社区，推出一批生态示范创建典型。持续打造</w:t>
      </w:r>
      <w:r>
        <w:rPr>
          <w:rFonts w:ascii="Times New Roman Regular" w:hAnsi="Times New Roman Regular" w:cs="Times New Roman Regular"/>
          <w:szCs w:val="32"/>
          <w:lang w:val="zh-CN"/>
        </w:rPr>
        <w:t>“</w:t>
      </w:r>
      <w:r>
        <w:rPr>
          <w:rFonts w:ascii="Times New Roman Regular" w:hAnsi="Times New Roman Regular" w:cs="Times New Roman Regular"/>
          <w:szCs w:val="32"/>
          <w:lang w:val="zh-CN"/>
        </w:rPr>
        <w:t>三脉、两轴、两环</w:t>
      </w:r>
      <w:r>
        <w:rPr>
          <w:rFonts w:ascii="Times New Roman Regular" w:hAnsi="Times New Roman Regular" w:cs="Times New Roman Regular"/>
          <w:szCs w:val="32"/>
          <w:lang w:val="zh-CN"/>
        </w:rPr>
        <w:t>”</w:t>
      </w:r>
      <w:r>
        <w:rPr>
          <w:rFonts w:ascii="Times New Roman Regular" w:hAnsi="Times New Roman Regular" w:cs="Times New Roman Regular"/>
          <w:szCs w:val="32"/>
          <w:lang w:val="zh-CN"/>
        </w:rPr>
        <w:t>的多圈级绿道结构，实施七浦塘（俞家河</w:t>
      </w:r>
      <w:r>
        <w:rPr>
          <w:rFonts w:ascii="Times New Roman Regular" w:hAnsi="Times New Roman Regular" w:cs="Times New Roman Regular"/>
          <w:szCs w:val="32"/>
          <w:lang w:val="zh-CN"/>
        </w:rPr>
        <w:t>-</w:t>
      </w:r>
      <w:r>
        <w:rPr>
          <w:rFonts w:ascii="Times New Roman Regular" w:hAnsi="Times New Roman Regular" w:cs="Times New Roman Regular"/>
          <w:szCs w:val="32"/>
          <w:lang w:val="zh-CN"/>
        </w:rPr>
        <w:t>滨江大道）、十八港、湖川塘、盐铁塘、郑和中路、城北河等</w:t>
      </w:r>
      <w:r>
        <w:rPr>
          <w:rFonts w:ascii="Times New Roman Regular" w:hAnsi="Times New Roman Regular" w:cs="Times New Roman Regular"/>
          <w:szCs w:val="32"/>
          <w:lang w:val="zh-CN"/>
        </w:rPr>
        <w:t>14</w:t>
      </w:r>
      <w:r>
        <w:rPr>
          <w:rFonts w:ascii="Times New Roman Regular" w:hAnsi="Times New Roman Regular" w:cs="Times New Roman Regular"/>
          <w:szCs w:val="32"/>
          <w:lang w:val="zh-CN"/>
        </w:rPr>
        <w:t>个绿道项目工程，到</w:t>
      </w:r>
      <w:r>
        <w:rPr>
          <w:rFonts w:ascii="Times New Roman Regular" w:hAnsi="Times New Roman Regular" w:cs="Times New Roman Regular"/>
          <w:szCs w:val="32"/>
          <w:lang w:val="zh-CN"/>
        </w:rPr>
        <w:t>2025</w:t>
      </w:r>
      <w:r>
        <w:rPr>
          <w:rFonts w:ascii="Times New Roman Regular" w:hAnsi="Times New Roman Regular" w:cs="Times New Roman Regular"/>
          <w:szCs w:val="32"/>
          <w:lang w:val="zh-CN"/>
        </w:rPr>
        <w:t>年，建设绿道总长达</w:t>
      </w:r>
      <w:r w:rsidR="00DE4718">
        <w:rPr>
          <w:rFonts w:ascii="Times New Roman Regular" w:hAnsi="Times New Roman Regular" w:cs="Times New Roman Regular"/>
          <w:szCs w:val="32"/>
        </w:rPr>
        <w:t>70.03</w:t>
      </w:r>
      <w:r>
        <w:rPr>
          <w:rFonts w:ascii="Times New Roman Regular" w:hAnsi="Times New Roman Regular" w:cs="Times New Roman Regular"/>
          <w:szCs w:val="32"/>
          <w:lang w:val="zh-CN"/>
        </w:rPr>
        <w:t>km</w:t>
      </w:r>
      <w:r>
        <w:rPr>
          <w:rFonts w:ascii="Times New Roman Regular" w:hAnsi="Times New Roman Regular" w:cs="Times New Roman Regular"/>
          <w:szCs w:val="32"/>
          <w:lang w:val="zh-CN"/>
        </w:rPr>
        <w:t>。加快构建</w:t>
      </w:r>
      <w:r>
        <w:rPr>
          <w:rFonts w:ascii="Times New Roman Regular" w:hAnsi="Times New Roman Regular" w:cs="Times New Roman Regular"/>
          <w:szCs w:val="32"/>
          <w:lang w:val="zh-CN"/>
        </w:rPr>
        <w:t>“</w:t>
      </w:r>
      <w:r>
        <w:rPr>
          <w:rFonts w:ascii="Times New Roman Regular" w:hAnsi="Times New Roman Regular" w:cs="Times New Roman Regular"/>
          <w:szCs w:val="32"/>
          <w:lang w:val="zh-CN"/>
        </w:rPr>
        <w:t>四廊、六带、八径、多园</w:t>
      </w:r>
      <w:r>
        <w:rPr>
          <w:rFonts w:ascii="Times New Roman Regular" w:hAnsi="Times New Roman Regular" w:cs="Times New Roman Regular"/>
          <w:szCs w:val="32"/>
          <w:lang w:val="zh-CN"/>
        </w:rPr>
        <w:t>”</w:t>
      </w:r>
      <w:r>
        <w:rPr>
          <w:rFonts w:ascii="Times New Roman Regular" w:hAnsi="Times New Roman Regular" w:cs="Times New Roman Regular"/>
          <w:szCs w:val="32"/>
          <w:lang w:val="zh-CN"/>
        </w:rPr>
        <w:t>绿地系统结构，进一步完善城市公园环境品质和功能服务，还绿于民、还景于民、还空间于民，不断提升人民群众的绿色获得感和幸福感。</w:t>
      </w:r>
    </w:p>
    <w:p w:rsidR="00B373FD">
      <w:pPr>
        <w:pStyle w:val="Heading2"/>
        <w:numPr>
          <w:ilvl w:val="1"/>
          <w:numId w:val="4"/>
        </w:numPr>
        <w:spacing w:before="156" w:after="156"/>
        <w:rPr>
          <w:rFonts w:ascii="Times New Roman Regular" w:hAnsi="Times New Roman Regular" w:cs="Times New Roman Regular"/>
        </w:rPr>
      </w:pPr>
      <w:bookmarkStart w:id="61" w:name="_Toc77862712"/>
      <w:r>
        <w:rPr>
          <w:rFonts w:ascii="Times New Roman Regular" w:hAnsi="Times New Roman Regular" w:cs="Times New Roman Regular"/>
        </w:rPr>
        <w:t>加强区域环境风险管控</w:t>
      </w:r>
      <w:r>
        <w:rPr>
          <w:rFonts w:ascii="Times New Roman Regular" w:hAnsi="Times New Roman Regular" w:cs="Times New Roman Regular"/>
        </w:rPr>
        <w:t xml:space="preserve">  </w:t>
      </w:r>
      <w:r>
        <w:rPr>
          <w:rFonts w:ascii="Times New Roman Regular" w:hAnsi="Times New Roman Regular" w:cs="Times New Roman Regular"/>
        </w:rPr>
        <w:t>保障环境健康安全</w:t>
      </w:r>
      <w:bookmarkEnd w:id="61"/>
    </w:p>
    <w:p w:rsidR="00B373FD">
      <w:pPr>
        <w:pStyle w:val="Heading3"/>
        <w:numPr>
          <w:ilvl w:val="2"/>
          <w:numId w:val="4"/>
        </w:numPr>
        <w:rPr>
          <w:rFonts w:ascii="Times New Roman Regular" w:hAnsi="Times New Roman Regular" w:cs="Times New Roman Regular"/>
        </w:rPr>
      </w:pPr>
      <w:r>
        <w:rPr>
          <w:rFonts w:ascii="Times New Roman Regular" w:hAnsi="Times New Roman Regular" w:cs="Times New Roman Regular"/>
        </w:rPr>
        <w:t>加强环境风险源头管控</w:t>
      </w:r>
    </w:p>
    <w:p w:rsidR="00B373FD">
      <w:pPr>
        <w:ind w:firstLine="640" w:firstLineChars="200"/>
        <w:rPr>
          <w:rFonts w:ascii="Times New Roman Regular" w:hAnsi="Times New Roman Regular" w:cs="Times New Roman Regular"/>
        </w:rPr>
      </w:pPr>
      <w:r>
        <w:rPr>
          <w:rFonts w:ascii="Times New Roman Regular" w:hAnsi="Times New Roman Regular" w:cs="Times New Roman Regular"/>
          <w:b/>
          <w:bCs/>
          <w:szCs w:val="32"/>
        </w:rPr>
        <w:t>强化重点环境风险源管控。</w:t>
      </w:r>
      <w:r>
        <w:rPr>
          <w:rFonts w:ascii="Times New Roman Regular" w:hAnsi="Times New Roman Regular" w:cs="Times New Roman Regular"/>
          <w:szCs w:val="32"/>
          <w:lang w:val="zh-CN"/>
        </w:rPr>
        <w:t>按照预防为主，预防与应急相结合的原则，常态化推进环境风险企业环境安全隐患排查，完善重点环境风险源清单，实施环境风险差异化动态管理，加强环境风险防控。强化区域开发和项目建设的环境风险评</w:t>
      </w:r>
      <w:r>
        <w:rPr>
          <w:rFonts w:ascii="Times New Roman Regular" w:hAnsi="Times New Roman Regular" w:cs="Times New Roman Regular"/>
          <w:szCs w:val="32"/>
          <w:lang w:val="zh-CN"/>
        </w:rPr>
        <w:t>价，对涉及有毒有害化学品、重金属和新污染物的项目，实行严格的环境准入把关。督促环境风险企业落实环境安全主体责任，严格落实重点企业环境应急预案备案制度，加强环境应急物资的储备和管理。</w:t>
      </w:r>
    </w:p>
    <w:p w:rsidR="00B373FD">
      <w:pPr>
        <w:ind w:firstLine="640" w:firstLineChars="200"/>
        <w:rPr>
          <w:rFonts w:ascii="Times New Roman Regular" w:hAnsi="Times New Roman Regular" w:cs="Times New Roman Regular"/>
          <w:color w:val="000000"/>
          <w:szCs w:val="32"/>
        </w:rPr>
      </w:pPr>
      <w:r>
        <w:rPr>
          <w:rFonts w:ascii="Times New Roman Regular" w:hAnsi="Times New Roman Regular" w:cs="Times New Roman Regular"/>
          <w:b/>
          <w:bCs/>
          <w:color w:val="000000"/>
          <w:szCs w:val="32"/>
        </w:rPr>
        <w:t>加强化工园区环境风险防控。</w:t>
      </w:r>
      <w:r w:rsidRPr="003E3F54" w:rsidR="003E3F54">
        <w:rPr>
          <w:rFonts w:ascii="Times New Roman Regular" w:hAnsi="Times New Roman Regular" w:cs="Times New Roman Regular" w:hint="eastAsia"/>
          <w:color w:val="000000"/>
          <w:szCs w:val="32"/>
        </w:rPr>
        <w:t>深入开展化工园区专项整治，实施更加精准的分级管理，全面提升园区环境应急管理水平，实现重点园区突发生态环境事件三级防控体系工程建设全覆盖。实施典型化工企业环境安全整治及废水深度处理升级改造，建设园区有毒有害物质排放风险应急系统。建立健全园区环境风险预警体系，逐步建立和完善集污染源监控、环境质量监控、图像监控和环境风险防控于一体的数字化在线监控中心。加强园区环境应急保障体系建设，完善突发环事件应急预案，不断加强环境应急救援队伍、装备和设施建设。</w:t>
      </w:r>
    </w:p>
    <w:p w:rsidR="00B373FD">
      <w:pPr>
        <w:adjustRightInd w:val="0"/>
        <w:snapToGrid w:val="0"/>
        <w:ind w:firstLine="640" w:firstLineChars="200"/>
        <w:rPr>
          <w:rFonts w:ascii="Times New Roman Regular" w:hAnsi="Times New Roman Regular" w:cs="Times New Roman Regular"/>
          <w:color w:val="000000"/>
          <w:szCs w:val="32"/>
        </w:rPr>
      </w:pPr>
      <w:r>
        <w:rPr>
          <w:rFonts w:ascii="Times New Roman Regular" w:hAnsi="Times New Roman Regular" w:cs="Times New Roman Regular"/>
          <w:b/>
          <w:bCs/>
          <w:color w:val="000000"/>
          <w:szCs w:val="32"/>
        </w:rPr>
        <w:t>健全环境风险应急管理体系。</w:t>
      </w:r>
      <w:r>
        <w:rPr>
          <w:rFonts w:ascii="Times New Roman Regular" w:hAnsi="Times New Roman Regular" w:cs="Times New Roman Regular"/>
          <w:color w:val="000000"/>
          <w:szCs w:val="32"/>
        </w:rPr>
        <w:t>加强突发环境事件风险防控，持续开展突发环境事件隐患排查。持续强化环境应急预案管理，提高预案可操作性，按要求完成重点环境风险企业电子化备案。落实环境应急响应工作机制，强化突发生态环境事件环境应急联动。妥善处置各类突发环境事件，按要求开展突发生态环境事件调查。依托重点企业、社会化资源，采取多种方式建成与辖区环境风险水平相适应的环境应急物资库、救援队伍和专家队伍，分类分级开展多形式环境应急培训。加强环境应急装备配置，定期开展应急演练拉练，不断提升环境应急能力。</w:t>
      </w:r>
    </w:p>
    <w:p w:rsidR="00B373FD">
      <w:pPr>
        <w:pStyle w:val="Heading3"/>
        <w:numPr>
          <w:ilvl w:val="2"/>
          <w:numId w:val="4"/>
        </w:numPr>
        <w:rPr>
          <w:rFonts w:ascii="Times New Roman Regular" w:hAnsi="Times New Roman Regular" w:cs="Times New Roman Regular"/>
        </w:rPr>
      </w:pPr>
      <w:r>
        <w:rPr>
          <w:rFonts w:ascii="Times New Roman Regular" w:hAnsi="Times New Roman Regular" w:cs="Times New Roman Regular"/>
        </w:rPr>
        <w:t>提高固体废物污染防治水平</w:t>
      </w:r>
    </w:p>
    <w:p w:rsidR="00B373FD">
      <w:pPr>
        <w:ind w:firstLine="640" w:firstLineChars="200"/>
        <w:rPr>
          <w:rFonts w:ascii="Times New Roman Regular" w:hAnsi="Times New Roman Regular" w:cs="Times New Roman Regular"/>
          <w:color w:val="000000"/>
          <w:szCs w:val="32"/>
        </w:rPr>
      </w:pPr>
      <w:r>
        <w:rPr>
          <w:rFonts w:ascii="Times New Roman Regular" w:hAnsi="Times New Roman Regular" w:cs="Times New Roman Regular"/>
          <w:b/>
          <w:bCs/>
          <w:szCs w:val="32"/>
        </w:rPr>
        <w:t>探索开展</w:t>
      </w:r>
      <w:r>
        <w:rPr>
          <w:rFonts w:ascii="Times New Roman Regular" w:hAnsi="Times New Roman Regular" w:cs="Times New Roman Regular"/>
          <w:b/>
          <w:bCs/>
          <w:szCs w:val="32"/>
        </w:rPr>
        <w:t>“</w:t>
      </w:r>
      <w:r>
        <w:rPr>
          <w:rFonts w:ascii="Times New Roman Regular" w:hAnsi="Times New Roman Regular" w:cs="Times New Roman Regular"/>
          <w:b/>
          <w:bCs/>
          <w:szCs w:val="32"/>
        </w:rPr>
        <w:t>无废城市</w:t>
      </w:r>
      <w:r>
        <w:rPr>
          <w:rFonts w:ascii="Times New Roman Regular" w:hAnsi="Times New Roman Regular" w:cs="Times New Roman Regular"/>
          <w:b/>
          <w:bCs/>
          <w:szCs w:val="32"/>
        </w:rPr>
        <w:t>”</w:t>
      </w:r>
      <w:r>
        <w:rPr>
          <w:rFonts w:ascii="Times New Roman Regular" w:hAnsi="Times New Roman Regular" w:cs="Times New Roman Regular"/>
          <w:b/>
          <w:bCs/>
          <w:szCs w:val="32"/>
        </w:rPr>
        <w:t>建设。</w:t>
      </w:r>
      <w:r w:rsidRPr="003E3F54" w:rsidR="003E3F54">
        <w:rPr>
          <w:rFonts w:ascii="Times New Roman Regular" w:hAnsi="Times New Roman Regular" w:cs="Times New Roman Regular" w:hint="eastAsia"/>
          <w:color w:val="000000"/>
          <w:szCs w:val="32"/>
        </w:rPr>
        <w:t>贯彻落实新《固废法》要求，探索开展“无废城市”建设。推进固废污染源头减量和资源化利用，严格控制新（扩）建固体废物产生量大、区域难以实现有效综合利用和无害化处置的项目。以大宗工业固废为重点，建立健全精准化源头分类、专业化二次分拣、智能化高效清运的一般工业固体废物收运体系。加强工业固体废物资源化利用，重点推动冶炼废渣、粉煤灰、脱硫石膏、工业污泥等综合利用，推进工业资源综合利用项目建设。加强垃圾分类处置及资源化利用，推广可回收物利用、焚烧发电、生物处理等资源化利用方式。</w:t>
      </w:r>
    </w:p>
    <w:p w:rsidR="00B373FD">
      <w:pPr>
        <w:ind w:firstLine="640" w:firstLineChars="200"/>
        <w:rPr>
          <w:rFonts w:ascii="Times New Roman Regular" w:eastAsia="方正仿宋_GBK" w:hAnsi="Times New Roman Regular" w:cs="Times New Roman Regular"/>
          <w:color w:val="000000"/>
          <w:sz w:val="28"/>
          <w:szCs w:val="28"/>
        </w:rPr>
      </w:pPr>
      <w:r>
        <w:rPr>
          <w:rFonts w:ascii="Times New Roman Regular" w:hAnsi="Times New Roman Regular" w:cs="Times New Roman Regular"/>
          <w:b/>
          <w:bCs/>
          <w:szCs w:val="32"/>
        </w:rPr>
        <w:t>强化固</w:t>
      </w:r>
      <w:r w:rsidR="000017B8">
        <w:rPr>
          <w:rFonts w:ascii="Times New Roman Regular" w:hAnsi="Times New Roman Regular" w:cs="Times New Roman Regular" w:hint="eastAsia"/>
          <w:b/>
          <w:bCs/>
          <w:szCs w:val="32"/>
        </w:rPr>
        <w:t>、</w:t>
      </w:r>
      <w:r>
        <w:rPr>
          <w:rFonts w:ascii="Times New Roman Regular" w:hAnsi="Times New Roman Regular" w:cs="Times New Roman Regular"/>
          <w:b/>
          <w:bCs/>
          <w:szCs w:val="32"/>
        </w:rPr>
        <w:t>危废环境监管。</w:t>
      </w:r>
      <w:r w:rsidRPr="003E3F54" w:rsidR="003E3F54">
        <w:rPr>
          <w:rFonts w:ascii="Times New Roman Regular" w:hAnsi="Times New Roman Regular" w:cs="Times New Roman Regular" w:hint="eastAsia"/>
          <w:color w:val="000000"/>
          <w:szCs w:val="32"/>
        </w:rPr>
        <w:t>以“一园一策”、“一企一策”模式推动建立重点环境风险源防控体系。产生工业固体废物单位依法申领排污许可证并执行排污许可证管理制度的相关规定。建立完善危险废物重点监管单位清单，推进危险废物分级分类管理，全面实施危险废物全生命周期监管，加强危险废物流向监控。加强危险废物利用处置单位规范化建设运营，依法查处超范围超规模经营、非法处置危险废物、超标排放的经营单位。推进危险废物等安全专项整治三年行动，严厉打击危险废物非法转移处置倾倒等违法犯罪行为。持续推进“清废”专项执法行动，严厉打击非法倾倒工业固体废物污染环境犯罪行为，对固体废物违法行为实行“零容忍”</w:t>
      </w:r>
      <w:r>
        <w:rPr>
          <w:rFonts w:ascii="Times New Roman Regular" w:hAnsi="Times New Roman Regular" w:cs="Times New Roman Regular"/>
          <w:color w:val="000000"/>
          <w:szCs w:val="32"/>
        </w:rPr>
        <w:t>。</w:t>
      </w:r>
    </w:p>
    <w:p w:rsidR="00B373FD">
      <w:pPr>
        <w:ind w:firstLine="640" w:firstLineChars="200"/>
        <w:rPr>
          <w:rFonts w:ascii="Times New Roman Regular" w:eastAsia="方正仿宋_GBK" w:hAnsi="Times New Roman Regular" w:cs="Times New Roman Regular"/>
          <w:color w:val="000000"/>
          <w:sz w:val="28"/>
          <w:szCs w:val="28"/>
        </w:rPr>
      </w:pPr>
      <w:r>
        <w:rPr>
          <w:rFonts w:ascii="Times New Roman Regular" w:hAnsi="Times New Roman Regular" w:cs="Times New Roman Regular"/>
          <w:b/>
          <w:bCs/>
          <w:szCs w:val="32"/>
        </w:rPr>
        <w:t>推进白色污染治理行动。</w:t>
      </w:r>
      <w:r>
        <w:rPr>
          <w:rFonts w:ascii="Times New Roman Regular" w:hAnsi="Times New Roman Regular" w:cs="Times New Roman Regular"/>
          <w:color w:val="000000"/>
          <w:szCs w:val="32"/>
        </w:rPr>
        <w:t>扎实推进塑料污染全链条治理，全面落实限制生产、销售和使用一次性不可降解塑料袋、塑</w:t>
      </w:r>
      <w:r>
        <w:rPr>
          <w:rFonts w:ascii="Times New Roman Regular" w:hAnsi="Times New Roman Regular" w:cs="Times New Roman Regular"/>
          <w:color w:val="000000"/>
          <w:szCs w:val="32"/>
        </w:rPr>
        <w:t>料餐具相关办法，有序减少不可降解塑料袋、塑料餐具、宾馆酒店一次性塑料用品、快递塑料包装等使用，扩大可降解塑料产品应用范围。推广可循环包装、绿色物流配送、台账记录等新业态新模式。</w:t>
      </w:r>
    </w:p>
    <w:p w:rsidR="00B373FD">
      <w:pPr>
        <w:pStyle w:val="Heading3"/>
        <w:numPr>
          <w:ilvl w:val="2"/>
          <w:numId w:val="4"/>
        </w:numPr>
        <w:rPr>
          <w:rFonts w:ascii="Times New Roman Regular" w:hAnsi="Times New Roman Regular" w:cs="Times New Roman Regular"/>
        </w:rPr>
      </w:pPr>
      <w:r>
        <w:rPr>
          <w:rFonts w:ascii="Times New Roman Regular" w:hAnsi="Times New Roman Regular" w:cs="Times New Roman Regular"/>
        </w:rPr>
        <w:t>加强重金属风险防控</w:t>
      </w:r>
    </w:p>
    <w:p w:rsidR="00B373FD">
      <w:pPr>
        <w:ind w:firstLine="640" w:firstLineChars="200"/>
        <w:rPr>
          <w:rFonts w:ascii="Times New Roman Regular" w:hAnsi="Times New Roman Regular" w:cs="Times New Roman Regular"/>
        </w:rPr>
      </w:pPr>
      <w:r w:rsidRPr="003E3F54">
        <w:rPr>
          <w:rFonts w:ascii="Times New Roman Regular" w:hAnsi="Times New Roman Regular" w:cs="Times New Roman Regular" w:hint="eastAsia"/>
        </w:rPr>
        <w:t>以电镀等行业为重点，进一步完善涉重金属重点行业企业清单。强化有色金属行业、铅蓄电池制造业企业环保执法监管，依法依规坚决淘汰超限值排放重金属的项目和企业。推动电镀行业等生产工艺设备提升改造。加快推进电镀企业入园，实施园区废水提标改造与深度治理。加强监测能力建设，健全重金属环境质量监测体系。</w:t>
      </w:r>
    </w:p>
    <w:p w:rsidR="00B373FD">
      <w:pPr>
        <w:pStyle w:val="Heading3"/>
        <w:numPr>
          <w:ilvl w:val="2"/>
          <w:numId w:val="4"/>
        </w:numPr>
        <w:rPr>
          <w:rFonts w:ascii="Times New Roman Regular" w:hAnsi="Times New Roman Regular" w:cs="Times New Roman Regular"/>
        </w:rPr>
      </w:pPr>
      <w:r>
        <w:rPr>
          <w:rFonts w:ascii="Times New Roman Regular" w:hAnsi="Times New Roman Regular" w:cs="Times New Roman Regular"/>
        </w:rPr>
        <w:t>强化辐射环境安全管理</w:t>
      </w:r>
    </w:p>
    <w:p w:rsidR="00B373FD">
      <w:pPr>
        <w:pStyle w:val="NormalIndent"/>
        <w:spacing w:line="560" w:lineRule="exact"/>
        <w:ind w:firstLine="640" w:firstLineChars="200"/>
        <w:outlineLvl w:val="3"/>
        <w:rPr>
          <w:rFonts w:ascii="Times New Roman Regular" w:hAnsi="Times New Roman Regular" w:cs="Times New Roman Regular"/>
          <w:sz w:val="32"/>
          <w:szCs w:val="32"/>
        </w:rPr>
      </w:pPr>
      <w:r>
        <w:rPr>
          <w:rFonts w:ascii="Times New Roman Regular" w:hAnsi="Times New Roman Regular" w:cs="Times New Roman Regular"/>
          <w:b/>
          <w:bCs/>
          <w:sz w:val="32"/>
          <w:szCs w:val="32"/>
        </w:rPr>
        <w:t>防范核技术利用等领域辐射安全风险。</w:t>
      </w:r>
      <w:r w:rsidRPr="003E3F54" w:rsidR="003E3F54">
        <w:rPr>
          <w:rFonts w:ascii="Times New Roman Regular" w:hAnsi="Times New Roman Regular" w:cs="Times New Roman Regular" w:hint="eastAsia"/>
          <w:sz w:val="32"/>
          <w:szCs w:val="32"/>
        </w:rPr>
        <w:t>开展核与辐射安全风险隐患排查治理三年行动计划，聚焦重点领域和重点行业，防范化解各类辐射风险隐患。深入开展核技术利用、电磁辐射、伴生矿开发利用、废旧金属熔炼等行业领域隐患排查。推进闲置废弃放射源排查，抓好废旧放射源安全动态管理，建立废旧放射源季度排查制度，动态掌握废源底数及分布情况。督促辐射工作单位落实辐射安全主体责任，推进工业探伤、医疗行业、工业辐照加速器等重点领域辐射标准化建设。推进核安全工作协调机制运行，联合公安、卫健等成员单位开展核与辐射安全综合检查专项行动，不断完善工作机制。强化移动伽马射线探伤等高风险源监管，实施高风险移动放射源在线监控。</w:t>
      </w:r>
    </w:p>
    <w:p w:rsidR="00B373FD">
      <w:pPr>
        <w:pStyle w:val="NormalIndent"/>
        <w:spacing w:line="560" w:lineRule="exact"/>
        <w:ind w:firstLine="640" w:firstLineChars="200"/>
        <w:outlineLvl w:val="3"/>
        <w:rPr>
          <w:rFonts w:ascii="Times New Roman Regular" w:hAnsi="Times New Roman Regular" w:cs="Times New Roman Regular"/>
          <w:sz w:val="32"/>
          <w:szCs w:val="32"/>
        </w:rPr>
      </w:pPr>
      <w:r>
        <w:rPr>
          <w:rFonts w:ascii="Times New Roman Regular" w:hAnsi="Times New Roman Regular" w:cs="Times New Roman Regular"/>
          <w:b/>
          <w:bCs/>
          <w:sz w:val="32"/>
          <w:szCs w:val="32"/>
        </w:rPr>
        <w:t>加强核与辐射环境安全监管。</w:t>
      </w:r>
      <w:r>
        <w:rPr>
          <w:rFonts w:ascii="Times New Roman Regular" w:hAnsi="Times New Roman Regular" w:cs="Times New Roman Regular"/>
          <w:sz w:val="32"/>
          <w:szCs w:val="32"/>
        </w:rPr>
        <w:t>全面排查整治辐射安全隐患，开展辐射环境安全专项检查活动。开展闲置废弃放射源调查，规范废旧放射源安全管理，推动废旧放射源回收再利用。完善全市辐射环境质量监测，实施高风险移动放射源在线监控全覆盖。加强电磁辐射安全监管，健全核与辐射事故应急体系，辐射事故安全处置率达</w:t>
      </w:r>
      <w:r>
        <w:rPr>
          <w:rFonts w:ascii="Times New Roman Regular" w:hAnsi="Times New Roman Regular" w:cs="Times New Roman Regular"/>
          <w:sz w:val="32"/>
          <w:szCs w:val="32"/>
        </w:rPr>
        <w:t>100%</w:t>
      </w:r>
      <w:r>
        <w:rPr>
          <w:rFonts w:ascii="Times New Roman Regular" w:hAnsi="Times New Roman Regular" w:cs="Times New Roman Regular"/>
          <w:sz w:val="32"/>
          <w:szCs w:val="32"/>
        </w:rPr>
        <w:t>。</w:t>
      </w:r>
    </w:p>
    <w:p w:rsidR="00B373FD">
      <w:pPr>
        <w:pStyle w:val="Heading2"/>
        <w:numPr>
          <w:ilvl w:val="1"/>
          <w:numId w:val="4"/>
        </w:numPr>
        <w:spacing w:before="156" w:after="156"/>
        <w:rPr>
          <w:rFonts w:ascii="Times New Roman Regular" w:hAnsi="Times New Roman Regular" w:cs="Times New Roman Regular"/>
        </w:rPr>
      </w:pPr>
      <w:bookmarkStart w:id="62" w:name="_Toc77862713"/>
      <w:r>
        <w:rPr>
          <w:rFonts w:ascii="Times New Roman Regular" w:hAnsi="Times New Roman Regular" w:cs="Times New Roman Regular"/>
        </w:rPr>
        <w:t>实筑牢环境保护基础</w:t>
      </w:r>
      <w:r>
        <w:rPr>
          <w:rFonts w:ascii="Times New Roman Regular" w:hAnsi="Times New Roman Regular" w:cs="Times New Roman Regular"/>
        </w:rPr>
        <w:t xml:space="preserve">  </w:t>
      </w:r>
      <w:r>
        <w:rPr>
          <w:rFonts w:ascii="Times New Roman Regular" w:hAnsi="Times New Roman Regular" w:cs="Times New Roman Regular"/>
        </w:rPr>
        <w:t>提升生态环境治理能力</w:t>
      </w:r>
      <w:bookmarkEnd w:id="62"/>
    </w:p>
    <w:p w:rsidR="00B373FD">
      <w:pPr>
        <w:pStyle w:val="Heading3"/>
        <w:numPr>
          <w:ilvl w:val="2"/>
          <w:numId w:val="4"/>
        </w:numPr>
        <w:rPr>
          <w:rFonts w:ascii="Times New Roman Regular" w:hAnsi="Times New Roman Regular" w:cs="Times New Roman Regular"/>
        </w:rPr>
      </w:pPr>
      <w:r>
        <w:rPr>
          <w:rFonts w:ascii="Times New Roman Regular" w:hAnsi="Times New Roman Regular" w:cs="Times New Roman Regular"/>
        </w:rPr>
        <w:t>提升环境监测监管能力</w:t>
      </w:r>
    </w:p>
    <w:p w:rsidR="00B373FD">
      <w:pPr>
        <w:ind w:firstLine="640" w:firstLineChars="200"/>
        <w:rPr>
          <w:rFonts w:ascii="Times New Roman Regular" w:hAnsi="Times New Roman Regular" w:cs="Times New Roman Regular"/>
          <w:szCs w:val="32"/>
        </w:rPr>
      </w:pPr>
      <w:r>
        <w:rPr>
          <w:rFonts w:ascii="Times New Roman Regular" w:hAnsi="Times New Roman Regular" w:cs="Times New Roman Regular"/>
          <w:b/>
          <w:bCs/>
          <w:szCs w:val="32"/>
        </w:rPr>
        <w:t>健全生态环境监测网络。</w:t>
      </w:r>
      <w:r w:rsidRPr="000E7D14" w:rsidR="000E7D14">
        <w:rPr>
          <w:rFonts w:ascii="Times New Roman Regular" w:hAnsi="Times New Roman Regular" w:cs="Times New Roman Regular" w:hint="eastAsia"/>
          <w:szCs w:val="32"/>
        </w:rPr>
        <w:t>构建以自动监测为主的大气环境立体综合监测体系，统筹优化地表水自动监测网络，优化土壤及地下水环境监测网络，构建生态遥感监测系统。通过环境监测能力建设工程，不断提高太仓市环境监测预警能力</w:t>
      </w:r>
      <w:r>
        <w:rPr>
          <w:rFonts w:ascii="Times New Roman Regular" w:hAnsi="Times New Roman Regular" w:cs="Times New Roman Regular"/>
          <w:szCs w:val="32"/>
        </w:rPr>
        <w:t>。</w:t>
      </w:r>
    </w:p>
    <w:p w:rsidR="00B373FD" w:rsidRPr="00993048">
      <w:pPr>
        <w:ind w:firstLine="640" w:firstLineChars="200"/>
        <w:rPr>
          <w:rFonts w:ascii="Times New Roman Regular" w:hAnsi="Times New Roman Regular" w:cs="Times New Roman Regular"/>
          <w:szCs w:val="32"/>
        </w:rPr>
      </w:pPr>
      <w:r>
        <w:rPr>
          <w:rFonts w:ascii="Times New Roman Regular" w:hAnsi="Times New Roman Regular" w:cs="Times New Roman Regular"/>
          <w:b/>
          <w:bCs/>
          <w:szCs w:val="32"/>
        </w:rPr>
        <w:t>统筹构建污染源监测监控网络。</w:t>
      </w:r>
      <w:r w:rsidRPr="000E7D14" w:rsidR="000E7D14">
        <w:rPr>
          <w:rFonts w:ascii="Times New Roman Regular" w:hAnsi="Times New Roman Regular" w:cs="Times New Roman Regular" w:hint="eastAsia"/>
          <w:szCs w:val="32"/>
        </w:rPr>
        <w:t>不断完善排污单位“用电、视频、工况和一园一档”重点污染源在线监控系统建设，推进在联网排查范围内的排污单位安装和使用在线监测监控设备，逐步实现污染源全覆盖，排污过程全覆盖，推动污染源监测与排污许可监管、监督执法联动，加强固定源、移动源和面源监测，推进长江、太湖流域入河（湖）排污口溯源监测监控。“十四五”期间完成污染源自动监控平台升级，集成视频监控、门禁监控、</w:t>
      </w:r>
      <w:r w:rsidRPr="000E7D14" w:rsidR="000E7D14">
        <w:rPr>
          <w:rFonts w:ascii="Times New Roman Regular" w:hAnsi="Times New Roman Regular" w:cs="Times New Roman Regular" w:hint="eastAsia"/>
          <w:szCs w:val="32"/>
        </w:rPr>
        <w:t>VOCs</w:t>
      </w:r>
      <w:r w:rsidRPr="000E7D14" w:rsidR="000E7D14">
        <w:rPr>
          <w:rFonts w:ascii="Times New Roman Regular" w:hAnsi="Times New Roman Regular" w:cs="Times New Roman Regular" w:hint="eastAsia"/>
          <w:szCs w:val="32"/>
        </w:rPr>
        <w:t>监控等各项监控功能，并将部分数据与省厅对接共享。完善省级及以上工业园区的限值监测监控网络体系，实现限量排放和自动截污</w:t>
      </w:r>
      <w:r w:rsidRPr="000017B8" w:rsidR="000017B8">
        <w:rPr>
          <w:rFonts w:ascii="Times New Roman Regular" w:hAnsi="Times New Roman Regular" w:cs="Times New Roman Regular" w:hint="eastAsia"/>
          <w:szCs w:val="32"/>
        </w:rPr>
        <w:t>。</w:t>
      </w:r>
    </w:p>
    <w:p w:rsidR="00B373FD">
      <w:pPr>
        <w:ind w:firstLine="640" w:firstLineChars="200"/>
        <w:rPr>
          <w:rFonts w:ascii="Times New Roman Regular" w:hAnsi="Times New Roman Regular" w:cs="Times New Roman Regular"/>
          <w:b/>
          <w:bCs/>
        </w:rPr>
      </w:pPr>
      <w:r>
        <w:rPr>
          <w:rFonts w:ascii="Times New Roman Regular" w:hAnsi="Times New Roman Regular" w:cs="Times New Roman Regular"/>
          <w:b/>
          <w:bCs/>
          <w:szCs w:val="32"/>
        </w:rPr>
        <w:t>提升环境监测应用管理水平。</w:t>
      </w:r>
      <w:r w:rsidRPr="000E7D14" w:rsidR="000E7D14">
        <w:rPr>
          <w:rFonts w:ascii="Times New Roman Regular" w:hAnsi="Times New Roman Regular" w:cs="Times New Roman Regular" w:hint="eastAsia"/>
          <w:szCs w:val="32"/>
        </w:rPr>
        <w:t>加强生态环境监管数据汇</w:t>
      </w:r>
      <w:r w:rsidRPr="000E7D14" w:rsidR="000E7D14">
        <w:rPr>
          <w:rFonts w:ascii="Times New Roman Regular" w:hAnsi="Times New Roman Regular" w:cs="Times New Roman Regular" w:hint="eastAsia"/>
          <w:szCs w:val="32"/>
        </w:rPr>
        <w:t>集共享和分析应用，加强对环境质量、污染源监测监控数据的归集和预警研判，充分运用打好污染防治攻坚战协同推进平台，建设生态环境监测监控联网大数据平台</w:t>
      </w:r>
      <w:r>
        <w:rPr>
          <w:rFonts w:ascii="Times New Roman Regular" w:hAnsi="Times New Roman Regular" w:cs="Times New Roman Regular"/>
          <w:szCs w:val="32"/>
        </w:rPr>
        <w:t>。</w:t>
      </w:r>
    </w:p>
    <w:p w:rsidR="00B373FD">
      <w:pPr>
        <w:pStyle w:val="Heading3"/>
        <w:numPr>
          <w:ilvl w:val="2"/>
          <w:numId w:val="4"/>
        </w:numPr>
        <w:rPr>
          <w:rFonts w:ascii="Times New Roman Regular" w:hAnsi="Times New Roman Regular" w:cs="Times New Roman Regular"/>
        </w:rPr>
      </w:pPr>
      <w:r>
        <w:rPr>
          <w:rFonts w:ascii="Times New Roman Regular" w:hAnsi="Times New Roman Regular" w:cs="Times New Roman Regular"/>
        </w:rPr>
        <w:t>提升城镇污水治理水平</w:t>
      </w:r>
    </w:p>
    <w:p w:rsidR="00B373FD">
      <w:pPr>
        <w:adjustRightInd w:val="0"/>
        <w:snapToGrid w:val="0"/>
        <w:ind w:firstLine="640" w:firstLineChars="200"/>
        <w:rPr>
          <w:rFonts w:ascii="Times New Roman Regular" w:eastAsia="楷体_GB2312" w:hAnsi="Times New Roman Regular" w:cs="Times New Roman Regular"/>
        </w:rPr>
      </w:pPr>
      <w:r w:rsidRPr="000E7D14">
        <w:rPr>
          <w:rFonts w:ascii="Times New Roman Regular" w:hAnsi="Times New Roman Regular" w:cs="Times New Roman Regular" w:hint="eastAsia"/>
          <w:color w:val="000000"/>
          <w:szCs w:val="32"/>
        </w:rPr>
        <w:t>加快推进污水处理提质增效达标城市建设，评估现有污水处理设施能力和运行效能，统筹优化污水处理设施布局，提升污水处理能力并做到适度超前。“十四五”期间，完成城区污水厂提标改造工程，建设沙溪镇工业污水处理厂，提高城市污水治理水平。全面排查污水管网覆盖情况，逐步消除管网空白区。实施污水处理厂尾水处理提标改造，大幅提高城镇污水处理厂尾水再生利用能力。有序推进农村污水处理，根据农村不同区位条件、村庄人口聚集程度、污水产生规模，因地制宜选择农村污水处理方式，探索开展整县制推进农村生活污水治理试点。合理布设分散性农村污水处理设施，因地制宜选择联村、连点、联户、单户型处理模式。加强农村污水处理设施运维管理，提高农村污水处理设施运行效率。提高工业园区污水处理水平，进一步提高工业废水处理能力，加快工业废水与生活污水分开收集、分质处理。完善工业园区内部管网的雨污分流改造，消除污水直排和雨污混接等问题</w:t>
      </w:r>
      <w:r w:rsidR="00C82635">
        <w:rPr>
          <w:rFonts w:ascii="Times New Roman Regular" w:hAnsi="Times New Roman Regular" w:cs="Times New Roman Regular"/>
          <w:color w:val="000000"/>
          <w:szCs w:val="32"/>
        </w:rPr>
        <w:t>。</w:t>
      </w:r>
    </w:p>
    <w:p w:rsidR="00B373FD">
      <w:pPr>
        <w:pStyle w:val="Heading3"/>
        <w:numPr>
          <w:ilvl w:val="2"/>
          <w:numId w:val="4"/>
        </w:numPr>
        <w:rPr>
          <w:rFonts w:ascii="Times New Roman Regular" w:hAnsi="Times New Roman Regular" w:cs="Times New Roman Regular"/>
        </w:rPr>
      </w:pPr>
      <w:r>
        <w:rPr>
          <w:rFonts w:ascii="Times New Roman Regular" w:hAnsi="Times New Roman Regular" w:cs="Times New Roman Regular"/>
        </w:rPr>
        <w:t>强化生活垃圾分类收集处置</w:t>
      </w:r>
    </w:p>
    <w:p w:rsidR="00B373FD">
      <w:pPr>
        <w:ind w:firstLine="640" w:firstLineChars="200"/>
        <w:rPr>
          <w:rFonts w:ascii="Times New Roman Regular" w:hAnsi="Times New Roman Regular" w:cs="Times New Roman Regular"/>
          <w:szCs w:val="32"/>
        </w:rPr>
      </w:pPr>
      <w:r>
        <w:rPr>
          <w:rFonts w:ascii="Times New Roman Regular" w:hAnsi="Times New Roman Regular" w:cs="Times New Roman Regular"/>
          <w:b/>
          <w:bCs/>
          <w:szCs w:val="32"/>
        </w:rPr>
        <w:t>提高生活垃圾分类投放准确率。</w:t>
      </w:r>
      <w:r w:rsidRPr="000E7D14" w:rsidR="000E7D14">
        <w:rPr>
          <w:rFonts w:ascii="Times New Roman Regular" w:hAnsi="Times New Roman Regular" w:cs="Times New Roman Regular" w:hint="eastAsia"/>
          <w:szCs w:val="32"/>
        </w:rPr>
        <w:t>持续“三定一督”工作方式，在垃圾投放时段加强人工督导，在非垃圾投放时段实施智能“监控</w:t>
      </w:r>
      <w:r w:rsidRPr="000E7D14" w:rsidR="000E7D14">
        <w:rPr>
          <w:rFonts w:ascii="Times New Roman Regular" w:hAnsi="Times New Roman Regular" w:cs="Times New Roman Regular" w:hint="eastAsia"/>
          <w:szCs w:val="32"/>
        </w:rPr>
        <w:t>+</w:t>
      </w:r>
      <w:r w:rsidRPr="000E7D14" w:rsidR="000E7D14">
        <w:rPr>
          <w:rFonts w:ascii="Times New Roman Regular" w:hAnsi="Times New Roman Regular" w:cs="Times New Roman Regular" w:hint="eastAsia"/>
          <w:szCs w:val="32"/>
        </w:rPr>
        <w:t>监督”，确保分类准确率逐步提升。到</w:t>
      </w:r>
      <w:r w:rsidRPr="000E7D14" w:rsidR="000E7D14">
        <w:rPr>
          <w:rFonts w:ascii="Times New Roman Regular" w:hAnsi="Times New Roman Regular" w:cs="Times New Roman Regular" w:hint="eastAsia"/>
          <w:szCs w:val="32"/>
        </w:rPr>
        <w:t>2025</w:t>
      </w:r>
      <w:r w:rsidRPr="000E7D14" w:rsidR="000E7D14">
        <w:rPr>
          <w:rFonts w:ascii="Times New Roman Regular" w:hAnsi="Times New Roman Regular" w:cs="Times New Roman Regular" w:hint="eastAsia"/>
          <w:szCs w:val="32"/>
        </w:rPr>
        <w:t>年，</w:t>
      </w:r>
      <w:r w:rsidRPr="000E7D14" w:rsidR="000E7D14">
        <w:rPr>
          <w:rFonts w:ascii="Times New Roman Regular" w:hAnsi="Times New Roman Regular" w:cs="Times New Roman Regular" w:hint="eastAsia"/>
          <w:szCs w:val="32"/>
        </w:rPr>
        <w:t>全市城乡生活垃圾“四分类”覆盖率达到</w:t>
      </w:r>
      <w:r w:rsidRPr="000E7D14" w:rsidR="000E7D14">
        <w:rPr>
          <w:rFonts w:ascii="Times New Roman Regular" w:hAnsi="Times New Roman Regular" w:cs="Times New Roman Regular" w:hint="eastAsia"/>
          <w:szCs w:val="32"/>
        </w:rPr>
        <w:t>100%</w:t>
      </w:r>
      <w:r w:rsidRPr="000E7D14" w:rsidR="000E7D14">
        <w:rPr>
          <w:rFonts w:ascii="Times New Roman Regular" w:hAnsi="Times New Roman Regular" w:cs="Times New Roman Regular" w:hint="eastAsia"/>
          <w:szCs w:val="32"/>
        </w:rPr>
        <w:t>，垃圾分类投放准确率达到</w:t>
      </w:r>
      <w:r w:rsidRPr="000E7D14" w:rsidR="000E7D14">
        <w:rPr>
          <w:rFonts w:ascii="Times New Roman Regular" w:hAnsi="Times New Roman Regular" w:cs="Times New Roman Regular" w:hint="eastAsia"/>
          <w:szCs w:val="32"/>
        </w:rPr>
        <w:t>90%</w:t>
      </w:r>
      <w:r>
        <w:rPr>
          <w:rFonts w:ascii="Times New Roman Regular" w:hAnsi="Times New Roman Regular" w:cs="Times New Roman Regular"/>
          <w:szCs w:val="32"/>
        </w:rPr>
        <w:t>。</w:t>
      </w:r>
    </w:p>
    <w:p w:rsidR="00B373FD">
      <w:pPr>
        <w:ind w:firstLine="640" w:firstLineChars="200"/>
        <w:rPr>
          <w:rFonts w:ascii="Times New Roman Regular" w:hAnsi="Times New Roman Regular" w:cs="Times New Roman Regular"/>
          <w:szCs w:val="32"/>
        </w:rPr>
      </w:pPr>
      <w:r>
        <w:rPr>
          <w:rFonts w:ascii="Times New Roman Regular" w:hAnsi="Times New Roman Regular" w:cs="Times New Roman Regular"/>
          <w:b/>
          <w:bCs/>
          <w:szCs w:val="32"/>
        </w:rPr>
        <w:t>完善垃圾分类收运管理体系。</w:t>
      </w:r>
      <w:r w:rsidRPr="000E7D14" w:rsidR="000E7D14">
        <w:rPr>
          <w:rFonts w:ascii="Times New Roman Regular" w:hAnsi="Times New Roman Regular" w:cs="Times New Roman Regular" w:hint="eastAsia"/>
          <w:szCs w:val="32"/>
        </w:rPr>
        <w:t>将有害垃圾、其他垃圾、厨余垃圾和可回收垃圾作为生活垃圾分类管理的基本种类，不断完善生活垃圾分类投放、分类收集、分类运输、分类处理的精细化管理体系，综合运用高科技手段，提高垃圾分类效能</w:t>
      </w:r>
      <w:r>
        <w:rPr>
          <w:rFonts w:ascii="Times New Roman Regular" w:hAnsi="Times New Roman Regular" w:cs="Times New Roman Regular"/>
          <w:szCs w:val="32"/>
        </w:rPr>
        <w:t>。</w:t>
      </w:r>
    </w:p>
    <w:p w:rsidR="00B373FD">
      <w:pPr>
        <w:ind w:firstLine="640" w:firstLineChars="200"/>
        <w:rPr>
          <w:rFonts w:ascii="Times New Roman Regular" w:hAnsi="Times New Roman Regular" w:cs="Times New Roman Regular"/>
        </w:rPr>
      </w:pPr>
      <w:r>
        <w:rPr>
          <w:rFonts w:ascii="Times New Roman Regular" w:hAnsi="Times New Roman Regular" w:cs="Times New Roman Regular"/>
          <w:b/>
          <w:bCs/>
          <w:szCs w:val="32"/>
        </w:rPr>
        <w:t>持续优化提升生活垃处置能力。</w:t>
      </w:r>
      <w:r w:rsidRPr="000E7D14" w:rsidR="000E7D14">
        <w:rPr>
          <w:rFonts w:ascii="Times New Roman Regular" w:hAnsi="Times New Roman Regular" w:cs="Times New Roman Regular" w:hint="eastAsia"/>
          <w:szCs w:val="32"/>
        </w:rPr>
        <w:t>尽快补齐垃圾处理能力缺口，全面实现生活垃圾全量焚烧。推进建筑垃圾资源化利用，合理规划建筑垃圾资源化利用设施设。以“集中为主、分散为辅”的方式，统筹推进区域餐厨废弃物和厨余垃圾处理。健全垃圾资源化利用管理体系，制定再生资源回收产品目录以及扶持政策，鼓励采用“互联网＋回收”、智能回收等方式，增强可回收物投放、交售的便捷性</w:t>
      </w:r>
      <w:r>
        <w:rPr>
          <w:rFonts w:ascii="Times New Roman Regular" w:hAnsi="Times New Roman Regular" w:cs="Times New Roman Regular"/>
        </w:rPr>
        <w:t>。</w:t>
      </w:r>
    </w:p>
    <w:p w:rsidR="00B373FD">
      <w:pPr>
        <w:pStyle w:val="Heading3"/>
        <w:numPr>
          <w:ilvl w:val="2"/>
          <w:numId w:val="4"/>
        </w:numPr>
        <w:rPr>
          <w:rFonts w:ascii="Times New Roman Regular" w:hAnsi="Times New Roman Regular" w:cs="Times New Roman Regular"/>
          <w:szCs w:val="22"/>
        </w:rPr>
      </w:pPr>
      <w:r>
        <w:rPr>
          <w:rFonts w:ascii="Times New Roman Regular" w:hAnsi="Times New Roman Regular" w:cs="Times New Roman Regular"/>
          <w:szCs w:val="22"/>
        </w:rPr>
        <w:t>发展壮大环保产业</w:t>
      </w:r>
    </w:p>
    <w:p w:rsidR="00B373FD">
      <w:pPr>
        <w:ind w:firstLine="640" w:firstLineChars="200"/>
        <w:rPr>
          <w:rFonts w:ascii="Times New Roman Regular" w:hAnsi="Times New Roman Regular" w:cs="Times New Roman Regular"/>
          <w:szCs w:val="32"/>
        </w:rPr>
      </w:pPr>
      <w:r>
        <w:rPr>
          <w:rFonts w:ascii="Times New Roman Regular" w:hAnsi="Times New Roman Regular" w:cs="Times New Roman Regular"/>
          <w:b/>
          <w:bCs/>
          <w:szCs w:val="32"/>
        </w:rPr>
        <w:t>加强环保产业支撑，培育壮大环保装备制造业。</w:t>
      </w:r>
      <w:r>
        <w:rPr>
          <w:rFonts w:ascii="Times New Roman Regular" w:hAnsi="Times New Roman Regular" w:cs="Times New Roman Regular"/>
          <w:szCs w:val="32"/>
        </w:rPr>
        <w:t>强化技术研发协同化创新发展，充分利用装备制造业基础，培育支持秸秆综合利用、污水处理等装备制造企业发展，推进先进适用的水污染、大气污染、土壤污染防治、固体废物处理处置、环境污染应急处理、环境监测等环保治理技术和装备产业化发展。优化环保装备产品结构，引导环保装备制造与互联网、服务业融合发展，鼓励建设一批环保装备龙头骨干企业，引导环保产业集聚发展。</w:t>
      </w:r>
    </w:p>
    <w:p w:rsidR="00B373FD">
      <w:pPr>
        <w:ind w:firstLine="640" w:firstLineChars="200"/>
        <w:rPr>
          <w:rFonts w:ascii="Times New Roman Regular" w:hAnsi="Times New Roman Regular" w:cs="Times New Roman Regular"/>
        </w:rPr>
      </w:pPr>
      <w:r>
        <w:rPr>
          <w:rFonts w:ascii="Times New Roman Regular" w:hAnsi="Times New Roman Regular" w:cs="Times New Roman Regular"/>
          <w:b/>
          <w:bCs/>
          <w:szCs w:val="32"/>
        </w:rPr>
        <w:t>加快发展节能和环境服务业。</w:t>
      </w:r>
      <w:r>
        <w:rPr>
          <w:rFonts w:ascii="Times New Roman Regular" w:hAnsi="Times New Roman Regular" w:cs="Times New Roman Regular"/>
          <w:szCs w:val="32"/>
        </w:rPr>
        <w:t>重点聚焦生态保护和节能</w:t>
      </w:r>
      <w:r>
        <w:rPr>
          <w:rFonts w:ascii="Times New Roman Regular" w:hAnsi="Times New Roman Regular" w:cs="Times New Roman Regular"/>
          <w:szCs w:val="32"/>
        </w:rPr>
        <w:t>减排工程咨询、能源审计、清洁生产审核和节能</w:t>
      </w:r>
      <w:r>
        <w:rPr>
          <w:rFonts w:ascii="Times New Roman Regular" w:hAnsi="Times New Roman Regular" w:cs="Times New Roman Regular" w:hint="eastAsia"/>
          <w:szCs w:val="32"/>
        </w:rPr>
        <w:t>服务机构</w:t>
      </w:r>
      <w:r>
        <w:rPr>
          <w:rFonts w:ascii="Times New Roman Regular" w:hAnsi="Times New Roman Regular" w:cs="Times New Roman Regular"/>
          <w:szCs w:val="32"/>
        </w:rPr>
        <w:t>等第三方节能环保服务，</w:t>
      </w:r>
      <w:r>
        <w:rPr>
          <w:rFonts w:ascii="Times New Roman Regular" w:hAnsi="Times New Roman Regular" w:cs="Times New Roman Regular"/>
          <w:color w:val="0D0D0D"/>
        </w:rPr>
        <w:t>以环境公用设施、工业园区等领域为重点，以市场化、专业化、产业化为导向，营造有利的市场和政策环境，有序开放可由市场提供服务的环境管理领域，大力发展环境服务业，健全环境污染第三方治理市场。</w:t>
      </w:r>
      <w:r>
        <w:rPr>
          <w:rFonts w:ascii="Times New Roman Regular" w:hAnsi="Times New Roman Regular" w:cs="Times New Roman Regular"/>
          <w:szCs w:val="32"/>
        </w:rPr>
        <w:t>推广绿色整体服务和全过程服务，试行园区生态环境综合治理和污染治理设施托管模式。</w:t>
      </w:r>
    </w:p>
    <w:p w:rsidR="00B373FD">
      <w:pPr>
        <w:pStyle w:val="NoteHeading"/>
        <w:numPr>
          <w:ilvl w:val="2"/>
          <w:numId w:val="4"/>
        </w:numPr>
        <w:jc w:val="both"/>
        <w:rPr>
          <w:rFonts w:ascii="Times New Roman Regular" w:eastAsia="楷体_GB2312" w:hAnsi="Times New Roman Regular" w:cs="Times New Roman Regular"/>
        </w:rPr>
      </w:pPr>
      <w:r>
        <w:rPr>
          <w:rFonts w:ascii="Times New Roman Regular" w:eastAsia="楷体_GB2312" w:hAnsi="Times New Roman Regular" w:cs="Times New Roman Regular"/>
        </w:rPr>
        <w:t>建立严格的环境执法监管制度</w:t>
      </w:r>
    </w:p>
    <w:p w:rsidR="00B373FD">
      <w:pPr>
        <w:ind w:firstLine="640" w:firstLineChars="200"/>
        <w:rPr>
          <w:rFonts w:ascii="Times New Roman Regular" w:hAnsi="Times New Roman Regular" w:cs="Times New Roman Regular"/>
          <w:szCs w:val="32"/>
        </w:rPr>
      </w:pPr>
      <w:r>
        <w:rPr>
          <w:rFonts w:ascii="Times New Roman Regular" w:hAnsi="Times New Roman Regular" w:cs="Times New Roman Regular"/>
          <w:szCs w:val="32"/>
        </w:rPr>
        <w:t>坚持对环境污染、破坏生态行为</w:t>
      </w:r>
      <w:r>
        <w:rPr>
          <w:rFonts w:ascii="Times New Roman Regular" w:hAnsi="Times New Roman Regular" w:cs="Times New Roman Regular"/>
          <w:szCs w:val="32"/>
        </w:rPr>
        <w:t>“</w:t>
      </w:r>
      <w:r>
        <w:rPr>
          <w:rFonts w:ascii="Times New Roman Regular" w:hAnsi="Times New Roman Regular" w:cs="Times New Roman Regular"/>
          <w:szCs w:val="32"/>
        </w:rPr>
        <w:t>零容忍</w:t>
      </w:r>
      <w:r>
        <w:rPr>
          <w:rFonts w:ascii="Times New Roman Regular" w:hAnsi="Times New Roman Regular" w:cs="Times New Roman Regular"/>
          <w:szCs w:val="32"/>
        </w:rPr>
        <w:t>”</w:t>
      </w:r>
      <w:r>
        <w:rPr>
          <w:rFonts w:ascii="Times New Roman Regular" w:hAnsi="Times New Roman Regular" w:cs="Times New Roman Regular"/>
          <w:szCs w:val="32"/>
        </w:rPr>
        <w:t>，敢于铁腕执法、铁面问责，切实扭转违法成本低、守法成本高的状况，做到在生态环境保护问题上不越雷池一步。建立健全跨行政区域、跨部门的生态环境执法合作机制和部门联动执法机制，开展联合执法、区域执法和交叉执法。推动环保司法创新，实现环保行政执法与司法的有效衔接，建立</w:t>
      </w:r>
      <w:r w:rsidR="00590C1E">
        <w:rPr>
          <w:rFonts w:ascii="Times New Roman Regular" w:hAnsi="Times New Roman Regular" w:cs="Times New Roman Regular" w:hint="eastAsia"/>
          <w:szCs w:val="32"/>
        </w:rPr>
        <w:t>生态环境</w:t>
      </w:r>
      <w:r>
        <w:rPr>
          <w:rFonts w:ascii="Times New Roman Regular" w:hAnsi="Times New Roman Regular" w:cs="Times New Roman Regular"/>
          <w:szCs w:val="32"/>
        </w:rPr>
        <w:t>局、法院、检察院、公安局</w:t>
      </w:r>
      <w:r w:rsidR="00590C1E">
        <w:rPr>
          <w:rFonts w:ascii="Times New Roman Regular" w:hAnsi="Times New Roman Regular" w:cs="Times New Roman Regular" w:hint="eastAsia"/>
          <w:szCs w:val="32"/>
        </w:rPr>
        <w:t>联席</w:t>
      </w:r>
      <w:r>
        <w:rPr>
          <w:rFonts w:ascii="Times New Roman Regular" w:hAnsi="Times New Roman Regular" w:cs="Times New Roman Regular"/>
          <w:szCs w:val="32"/>
        </w:rPr>
        <w:t>会商和联合查办案件制度。实行有奖举报，鼓励检举揭发各种环境违法行为。完善环境问责及纠错、生态环境矛盾定期排查、重点环境问题后督察等制度，对违法行为严肃追究责任。</w:t>
      </w:r>
    </w:p>
    <w:p w:rsidR="00B373FD">
      <w:pPr>
        <w:pStyle w:val="Heading2"/>
        <w:spacing w:before="156" w:after="156"/>
        <w:ind w:firstLine="0"/>
        <w:rPr>
          <w:rFonts w:ascii="Times New Roman Regular" w:hAnsi="Times New Roman Regular" w:cs="Times New Roman Regular"/>
        </w:rPr>
      </w:pPr>
      <w:bookmarkStart w:id="63" w:name="_Toc77862714"/>
      <w:r>
        <w:rPr>
          <w:rFonts w:ascii="Times New Roman Regular" w:hAnsi="Times New Roman Regular" w:cs="Times New Roman Regular"/>
        </w:rPr>
        <w:t xml:space="preserve">6.10 </w:t>
      </w:r>
      <w:r>
        <w:rPr>
          <w:rFonts w:ascii="Times New Roman Regular" w:hAnsi="Times New Roman Regular" w:cs="Times New Roman Regular"/>
        </w:rPr>
        <w:t>完善环保体制机制</w:t>
      </w:r>
      <w:r>
        <w:rPr>
          <w:rFonts w:ascii="Times New Roman Regular" w:hAnsi="Times New Roman Regular" w:cs="Times New Roman Regular"/>
        </w:rPr>
        <w:t xml:space="preserve"> </w:t>
      </w:r>
      <w:r>
        <w:rPr>
          <w:rFonts w:ascii="Times New Roman Regular" w:hAnsi="Times New Roman Regular" w:cs="Times New Roman Regular"/>
        </w:rPr>
        <w:t>推动社会共治共享</w:t>
      </w:r>
      <w:bookmarkEnd w:id="63"/>
    </w:p>
    <w:p w:rsidR="00B373FD" w:rsidP="00993048">
      <w:pPr>
        <w:pStyle w:val="Heading3"/>
        <w:numPr>
          <w:ilvl w:val="255"/>
          <w:numId w:val="0"/>
        </w:numPr>
        <w:rPr>
          <w:rFonts w:ascii="Times New Roman Regular" w:hAnsi="Times New Roman Regular" w:cs="Times New Roman Regular"/>
        </w:rPr>
      </w:pPr>
      <w:r>
        <w:rPr>
          <w:rFonts w:ascii="Times New Roman Regular" w:hAnsi="Times New Roman Regular" w:cs="Times New Roman Regular" w:hint="eastAsia"/>
        </w:rPr>
        <w:t>6.10.1</w:t>
      </w:r>
      <w:r>
        <w:rPr>
          <w:rFonts w:ascii="Times New Roman Regular" w:hAnsi="Times New Roman Regular" w:cs="Times New Roman Regular"/>
        </w:rPr>
        <w:t>健全环保责任体系</w:t>
      </w:r>
    </w:p>
    <w:p w:rsidR="00B373FD">
      <w:pPr>
        <w:ind w:firstLine="640" w:firstLineChars="200"/>
        <w:rPr>
          <w:rFonts w:ascii="Times New Roman Regular" w:hAnsi="Times New Roman Regular" w:cs="Times New Roman Regular"/>
          <w:szCs w:val="32"/>
        </w:rPr>
      </w:pPr>
      <w:r>
        <w:rPr>
          <w:rFonts w:ascii="Times New Roman Regular" w:hAnsi="Times New Roman Regular" w:cs="Times New Roman Regular"/>
          <w:b/>
          <w:bCs/>
          <w:szCs w:val="32"/>
        </w:rPr>
        <w:t>强化党政主体责任。</w:t>
      </w:r>
      <w:r>
        <w:rPr>
          <w:rFonts w:ascii="Times New Roman Regular" w:hAnsi="Times New Roman Regular" w:cs="Times New Roman Regular"/>
          <w:szCs w:val="32"/>
        </w:rPr>
        <w:t>严格实行生态环境保护党政同责、一岗双责和失职追责；强化目标评价考核，优化绿色发展评估指标体系，加大生态环境质量约束性目标在高质量发展综</w:t>
      </w:r>
      <w:r>
        <w:rPr>
          <w:rFonts w:ascii="Times New Roman Regular" w:hAnsi="Times New Roman Regular" w:cs="Times New Roman Regular"/>
          <w:szCs w:val="32"/>
        </w:rPr>
        <w:t>合考核中的分值比例，考核结果作为干部奖惩任免的重要依据。加大审计力度，全面开展领导干部离任审计。</w:t>
      </w:r>
    </w:p>
    <w:p w:rsidR="00B373FD">
      <w:pPr>
        <w:ind w:firstLine="640" w:firstLineChars="200"/>
        <w:rPr>
          <w:rFonts w:ascii="Times New Roman Regular" w:hAnsi="Times New Roman Regular" w:cs="Times New Roman Regular"/>
          <w:szCs w:val="32"/>
        </w:rPr>
      </w:pPr>
      <w:r>
        <w:rPr>
          <w:rFonts w:ascii="Times New Roman Regular" w:hAnsi="Times New Roman Regular" w:cs="Times New Roman Regular"/>
          <w:b/>
          <w:bCs/>
          <w:szCs w:val="32"/>
        </w:rPr>
        <w:t>健全企业主体责任体系。</w:t>
      </w:r>
      <w:r>
        <w:rPr>
          <w:rFonts w:ascii="Times New Roman Regular" w:hAnsi="Times New Roman Regular" w:cs="Times New Roman Regular"/>
          <w:szCs w:val="32"/>
        </w:rPr>
        <w:t>依法实施排污许可证管理，推动排污许可与环境执法、环境监测、总量控制、排污权交易等环境管理制度有效衔接；定期要求企业公开环境治理信息，鼓励企业向社会公众开放，</w:t>
      </w:r>
      <w:r w:rsidR="000E7D14">
        <w:rPr>
          <w:szCs w:val="32"/>
        </w:rPr>
        <w:t>接受</w:t>
      </w:r>
      <w:r>
        <w:rPr>
          <w:rFonts w:ascii="Times New Roman Regular" w:hAnsi="Times New Roman Regular" w:cs="Times New Roman Regular"/>
          <w:szCs w:val="32"/>
        </w:rPr>
        <w:t>监督。</w:t>
      </w:r>
    </w:p>
    <w:p w:rsidR="00B373FD" w:rsidP="00993048">
      <w:pPr>
        <w:pStyle w:val="Heading3"/>
        <w:numPr>
          <w:ilvl w:val="255"/>
          <w:numId w:val="0"/>
        </w:numPr>
        <w:rPr>
          <w:rFonts w:ascii="Times New Roman Regular" w:hAnsi="Times New Roman Regular" w:cs="Times New Roman Regular"/>
        </w:rPr>
      </w:pPr>
      <w:r>
        <w:rPr>
          <w:rFonts w:ascii="Times New Roman Regular" w:hAnsi="Times New Roman Regular" w:cs="Times New Roman Regular" w:hint="eastAsia"/>
        </w:rPr>
        <w:t>6.10.2</w:t>
      </w:r>
      <w:r>
        <w:rPr>
          <w:rFonts w:ascii="Times New Roman Regular" w:hAnsi="Times New Roman Regular" w:cs="Times New Roman Regular"/>
        </w:rPr>
        <w:t>完善环境经济政策</w:t>
      </w:r>
    </w:p>
    <w:p w:rsidR="00B373FD" w:rsidP="000E7D14">
      <w:pPr>
        <w:ind w:firstLine="640" w:firstLineChars="200"/>
        <w:rPr>
          <w:rFonts w:ascii="Times New Roman Regular" w:hAnsi="Times New Roman Regular" w:cs="Times New Roman Regular"/>
          <w:szCs w:val="32"/>
        </w:rPr>
      </w:pPr>
      <w:r>
        <w:rPr>
          <w:rFonts w:ascii="Times New Roman Regular" w:hAnsi="Times New Roman Regular" w:cs="Times New Roman Regular"/>
          <w:szCs w:val="32"/>
        </w:rPr>
        <w:t>贯彻落实好现行促进环境保护和污染防治的税收优惠政策。完善生态补偿制度，提高生态红线保护区域补偿力度，建立覆盖主要流域的水环境区域补偿制度，探索建立地区间横向生态补偿制度。推进绿色金融，不断深化绿色信贷、绿色债券、绿色保险等绿色金融产品和服务创新。大力推进排污权、碳排放权交易，探索建立全市域范围内、指标全覆盖的排污权有偿使用和交易创新管理制度。</w:t>
      </w:r>
    </w:p>
    <w:p w:rsidR="00B373FD" w:rsidP="00993048">
      <w:pPr>
        <w:pStyle w:val="Heading3"/>
        <w:numPr>
          <w:ilvl w:val="255"/>
          <w:numId w:val="0"/>
        </w:numPr>
        <w:rPr>
          <w:rFonts w:ascii="Times New Roman Regular" w:hAnsi="Times New Roman Regular" w:cs="Times New Roman Regular"/>
        </w:rPr>
      </w:pPr>
      <w:r>
        <w:rPr>
          <w:rFonts w:ascii="Times New Roman Regular" w:hAnsi="Times New Roman Regular" w:cs="Times New Roman Regular" w:hint="eastAsia"/>
        </w:rPr>
        <w:t>6.10.3</w:t>
      </w:r>
      <w:r>
        <w:rPr>
          <w:rFonts w:ascii="Times New Roman Regular" w:hAnsi="Times New Roman Regular" w:cs="Times New Roman Regular"/>
        </w:rPr>
        <w:t>健全社会共治体系</w:t>
      </w:r>
    </w:p>
    <w:p w:rsidR="00B373FD">
      <w:pPr>
        <w:ind w:firstLine="640" w:firstLineChars="200"/>
        <w:rPr>
          <w:rFonts w:ascii="Times New Roman Regular" w:hAnsi="Times New Roman Regular" w:cs="Times New Roman Regular"/>
          <w:szCs w:val="32"/>
        </w:rPr>
      </w:pPr>
      <w:r>
        <w:rPr>
          <w:rFonts w:ascii="Times New Roman Regular" w:hAnsi="Times New Roman Regular" w:cs="Times New Roman Regular"/>
          <w:b/>
          <w:bCs/>
          <w:szCs w:val="32"/>
        </w:rPr>
        <w:t>完善社会监督机制。</w:t>
      </w:r>
      <w:r>
        <w:rPr>
          <w:rFonts w:ascii="Times New Roman Regular" w:hAnsi="Times New Roman Regular" w:cs="Times New Roman Regular"/>
          <w:szCs w:val="32"/>
        </w:rPr>
        <w:t>拓宽环保监督渠道，充分发挥</w:t>
      </w:r>
      <w:r>
        <w:rPr>
          <w:rFonts w:ascii="Times New Roman Regular" w:hAnsi="Times New Roman Regular" w:cs="Times New Roman Regular"/>
          <w:szCs w:val="32"/>
        </w:rPr>
        <w:t>“12345”</w:t>
      </w:r>
      <w:r>
        <w:rPr>
          <w:rFonts w:ascii="Times New Roman Regular" w:hAnsi="Times New Roman Regular" w:cs="Times New Roman Regular"/>
          <w:szCs w:val="32"/>
        </w:rPr>
        <w:t>政风热线和</w:t>
      </w:r>
      <w:r>
        <w:rPr>
          <w:rFonts w:ascii="Times New Roman Regular" w:hAnsi="Times New Roman Regular" w:cs="Times New Roman Regular"/>
          <w:szCs w:val="32"/>
        </w:rPr>
        <w:t>“12369”</w:t>
      </w:r>
      <w:r>
        <w:rPr>
          <w:rFonts w:ascii="Times New Roman Regular" w:hAnsi="Times New Roman Regular" w:cs="Times New Roman Regular"/>
          <w:szCs w:val="32"/>
        </w:rPr>
        <w:t>环保举报热线作用，运用微博、微信、邮件等网络渠道；完善举报反馈机制，制定实施生态环境违法行为举报奖励办法，严格保护举报人；发挥媒体监督作用，鼓励新闻媒体对破坏生态环境问题、环境违法行为曝光。加大环境信息公开，拓展环境质量发布渠道，保障公众环境知情权。</w:t>
      </w:r>
    </w:p>
    <w:p w:rsidR="00B373FD">
      <w:pPr>
        <w:ind w:firstLine="640" w:firstLineChars="200"/>
        <w:rPr>
          <w:rFonts w:ascii="Times New Roman Regular" w:hAnsi="Times New Roman Regular" w:cs="Times New Roman Regular"/>
          <w:szCs w:val="32"/>
        </w:rPr>
      </w:pPr>
      <w:r>
        <w:rPr>
          <w:rFonts w:ascii="Times New Roman Regular" w:hAnsi="Times New Roman Regular" w:cs="Times New Roman Regular"/>
          <w:b/>
          <w:bCs/>
          <w:szCs w:val="32"/>
        </w:rPr>
        <w:t>发挥各类环保团体作用。</w:t>
      </w:r>
      <w:r>
        <w:rPr>
          <w:rFonts w:ascii="Times New Roman Regular" w:hAnsi="Times New Roman Regular" w:cs="Times New Roman Regular"/>
          <w:szCs w:val="32"/>
        </w:rPr>
        <w:t>引导具备资格的社会组织依法开展生态环境公益诉讼，保障当事人合法权益，加大对环保</w:t>
      </w:r>
      <w:r>
        <w:rPr>
          <w:rFonts w:ascii="Times New Roman Regular" w:hAnsi="Times New Roman Regular" w:cs="Times New Roman Regular"/>
          <w:szCs w:val="32"/>
        </w:rPr>
        <w:t>志愿者管理指导，使其发挥更大作用。</w:t>
      </w:r>
    </w:p>
    <w:p w:rsidR="00B373FD">
      <w:pPr>
        <w:ind w:firstLine="640" w:firstLineChars="200"/>
        <w:rPr>
          <w:rFonts w:ascii="Times New Roman Regular" w:hAnsi="Times New Roman Regular" w:cs="Times New Roman Regular"/>
          <w:szCs w:val="32"/>
        </w:rPr>
      </w:pPr>
      <w:r>
        <w:rPr>
          <w:rFonts w:ascii="Times New Roman Regular" w:hAnsi="Times New Roman Regular" w:cs="Times New Roman Regular"/>
          <w:b/>
          <w:bCs/>
          <w:szCs w:val="32"/>
        </w:rPr>
        <w:t>加强生态文明宣传教育。</w:t>
      </w:r>
      <w:r>
        <w:rPr>
          <w:rFonts w:ascii="Times New Roman Regular" w:hAnsi="Times New Roman Regular" w:cs="Times New Roman Regular"/>
          <w:szCs w:val="32"/>
        </w:rPr>
        <w:t>将环境保护纳入党政领导干部教育体系。充分利用融媒体方式，加大环保宣传，提高全社会生态文明意识。积极开发体现时代特点、反映太仓市特色的生态文化产品，加大环境公益宣传力度，提升生态文化传播力。</w:t>
      </w:r>
    </w:p>
    <w:p w:rsidR="00B373FD">
      <w:pPr>
        <w:spacing w:line="500" w:lineRule="exact"/>
        <w:ind w:firstLine="640" w:firstLineChars="200"/>
        <w:rPr>
          <w:rFonts w:ascii="Times New Roman Regular" w:hAnsi="Times New Roman Regular" w:cs="Times New Roman Regular"/>
          <w:szCs w:val="32"/>
        </w:rPr>
      </w:pPr>
    </w:p>
    <w:p w:rsidR="00B373FD">
      <w:pPr>
        <w:adjustRightInd w:val="0"/>
        <w:snapToGrid w:val="0"/>
        <w:ind w:firstLine="640" w:firstLineChars="200"/>
        <w:rPr>
          <w:rFonts w:ascii="Times New Roman Regular" w:hAnsi="Times New Roman Regular" w:cs="Times New Roman Regular"/>
          <w:b/>
          <w:szCs w:val="32"/>
        </w:rPr>
      </w:pPr>
    </w:p>
    <w:p w:rsidR="00B373FD">
      <w:pPr>
        <w:adjustRightInd w:val="0"/>
        <w:snapToGrid w:val="0"/>
        <w:ind w:firstLine="640" w:firstLineChars="200"/>
        <w:rPr>
          <w:rFonts w:ascii="Times New Roman Regular" w:hAnsi="Times New Roman Regular" w:cs="Times New Roman Regular"/>
        </w:rPr>
        <w:sectPr>
          <w:headerReference w:type="even" r:id="rId45"/>
          <w:headerReference w:type="default" r:id="rId46"/>
          <w:headerReference w:type="first" r:id="rId47"/>
          <w:pgSz w:w="11906" w:h="16838"/>
          <w:pgMar w:top="1440" w:right="1800" w:bottom="1440" w:left="1800" w:header="851" w:footer="992" w:gutter="0"/>
          <w:cols w:space="720"/>
          <w:docGrid w:type="lines" w:linePitch="312"/>
        </w:sectPr>
      </w:pPr>
    </w:p>
    <w:p w:rsidR="00B373FD">
      <w:pPr>
        <w:pStyle w:val="Heading1"/>
        <w:numPr>
          <w:ilvl w:val="0"/>
          <w:numId w:val="4"/>
        </w:numPr>
        <w:spacing w:before="156" w:after="156"/>
        <w:rPr>
          <w:rFonts w:ascii="Times New Roman Regular" w:hAnsi="Times New Roman Regular" w:cs="Times New Roman Regular"/>
        </w:rPr>
      </w:pPr>
      <w:bookmarkStart w:id="64" w:name="_Toc77862715"/>
      <w:r>
        <w:rPr>
          <w:rFonts w:ascii="Times New Roman Regular" w:hAnsi="Times New Roman Regular" w:cs="Times New Roman Regular"/>
        </w:rPr>
        <w:t>重点工程</w:t>
      </w:r>
      <w:bookmarkEnd w:id="64"/>
    </w:p>
    <w:p w:rsidR="00B373FD">
      <w:pPr>
        <w:adjustRightInd w:val="0"/>
        <w:snapToGrid w:val="0"/>
        <w:ind w:firstLine="640" w:firstLineChars="200"/>
        <w:rPr>
          <w:rFonts w:ascii="Times New Roman Regular" w:hAnsi="Times New Roman Regular" w:cs="Times New Roman Regular"/>
          <w:szCs w:val="32"/>
        </w:rPr>
      </w:pPr>
      <w:r>
        <w:rPr>
          <w:rFonts w:ascii="Times New Roman Regular" w:hAnsi="Times New Roman Regular" w:cs="Times New Roman Regular"/>
          <w:szCs w:val="32"/>
        </w:rPr>
        <w:t>为保证</w:t>
      </w:r>
      <w:r>
        <w:rPr>
          <w:rFonts w:ascii="Times New Roman Regular" w:hAnsi="Times New Roman Regular" w:cs="Times New Roman Regular"/>
          <w:szCs w:val="32"/>
        </w:rPr>
        <w:t>“</w:t>
      </w:r>
      <w:r>
        <w:rPr>
          <w:rFonts w:ascii="Times New Roman Regular" w:hAnsi="Times New Roman Regular" w:cs="Times New Roman Regular"/>
          <w:szCs w:val="32"/>
        </w:rPr>
        <w:t>十四五</w:t>
      </w:r>
      <w:r>
        <w:rPr>
          <w:rFonts w:ascii="Times New Roman Regular" w:hAnsi="Times New Roman Regular" w:cs="Times New Roman Regular"/>
          <w:szCs w:val="32"/>
        </w:rPr>
        <w:t>”</w:t>
      </w:r>
      <w:r>
        <w:rPr>
          <w:rFonts w:ascii="Times New Roman Regular" w:hAnsi="Times New Roman Regular" w:cs="Times New Roman Regular"/>
          <w:szCs w:val="32"/>
        </w:rPr>
        <w:t>时期《规划》各项目标的如期实现，有序推进主要任务的顺利实施，持续改善全市生态环境质量，有力保障群众环境权益，《规划》提出了</w:t>
      </w:r>
      <w:r w:rsidR="00DE4718">
        <w:rPr>
          <w:rFonts w:ascii="Times New Roman Regular" w:hAnsi="Times New Roman Regular" w:cs="Times New Roman Regular"/>
          <w:szCs w:val="32"/>
        </w:rPr>
        <w:t>3</w:t>
      </w:r>
      <w:r w:rsidR="000E7D14">
        <w:rPr>
          <w:rFonts w:ascii="Times New Roman Regular" w:hAnsi="Times New Roman Regular" w:cs="Times New Roman Regular"/>
          <w:szCs w:val="32"/>
        </w:rPr>
        <w:t>2</w:t>
      </w:r>
      <w:r>
        <w:rPr>
          <w:rFonts w:ascii="Times New Roman Regular" w:hAnsi="Times New Roman Regular" w:cs="Times New Roman Regular"/>
          <w:szCs w:val="32"/>
        </w:rPr>
        <w:t>项生态环境保护的重点工程，以带动全市实现精准治污。重点工程围绕大气环境质量提升、水环境综合治理、土壤环境治理修复、生态系统保护修复、城乡环境综合整治、区域环境风险防控、环境监测监控能力、生态文明建设等</w:t>
      </w:r>
      <w:r>
        <w:rPr>
          <w:rFonts w:ascii="Times New Roman Regular" w:hAnsi="Times New Roman Regular" w:cs="Times New Roman Regular"/>
          <w:szCs w:val="32"/>
        </w:rPr>
        <w:t>8</w:t>
      </w:r>
      <w:r>
        <w:rPr>
          <w:rFonts w:ascii="Times New Roman Regular" w:hAnsi="Times New Roman Regular" w:cs="Times New Roman Regular"/>
          <w:szCs w:val="32"/>
        </w:rPr>
        <w:t>大</w:t>
      </w:r>
      <w:r w:rsidR="00DE4718">
        <w:rPr>
          <w:rFonts w:ascii="Times New Roman Regular" w:hAnsi="Times New Roman Regular" w:cs="Times New Roman Regular"/>
          <w:szCs w:val="32"/>
        </w:rPr>
        <w:t>3</w:t>
      </w:r>
      <w:r w:rsidR="000E7D14">
        <w:rPr>
          <w:rFonts w:ascii="Times New Roman Regular" w:hAnsi="Times New Roman Regular" w:cs="Times New Roman Regular"/>
          <w:szCs w:val="32"/>
        </w:rPr>
        <w:t>2</w:t>
      </w:r>
      <w:r>
        <w:rPr>
          <w:rFonts w:ascii="Times New Roman Regular" w:hAnsi="Times New Roman Regular" w:cs="Times New Roman Regular"/>
          <w:szCs w:val="32"/>
        </w:rPr>
        <w:t>小类。具体见附表</w:t>
      </w:r>
      <w:r>
        <w:rPr>
          <w:rFonts w:ascii="Times New Roman Regular" w:hAnsi="Times New Roman Regular" w:cs="Times New Roman Regular"/>
          <w:szCs w:val="32"/>
        </w:rPr>
        <w:t>2</w:t>
      </w:r>
      <w:r>
        <w:rPr>
          <w:rFonts w:ascii="Times New Roman Regular" w:hAnsi="Times New Roman Regular" w:cs="Times New Roman Regular"/>
          <w:szCs w:val="32"/>
        </w:rPr>
        <w:t>。</w:t>
      </w:r>
    </w:p>
    <w:p w:rsidR="00B373FD">
      <w:pPr>
        <w:adjustRightInd w:val="0"/>
        <w:snapToGrid w:val="0"/>
        <w:ind w:firstLine="640" w:firstLineChars="200"/>
        <w:rPr>
          <w:rFonts w:ascii="Times New Roman Regular" w:hAnsi="Times New Roman Regular" w:cs="Times New Roman Regular"/>
          <w:szCs w:val="32"/>
        </w:rPr>
      </w:pPr>
      <w:r>
        <w:rPr>
          <w:rFonts w:ascii="Times New Roman Regular" w:hAnsi="Times New Roman Regular" w:cs="Times New Roman Regular"/>
          <w:szCs w:val="32"/>
        </w:rPr>
        <w:t>大气环境质量提升主要包括工业大气污染治理工程、挥发性有机物治理工程、机动车污染防治工程、船舶港口污染控制工程、扬尘污染防治工程等。</w:t>
      </w:r>
    </w:p>
    <w:p w:rsidR="00B373FD">
      <w:pPr>
        <w:adjustRightInd w:val="0"/>
        <w:snapToGrid w:val="0"/>
        <w:ind w:firstLine="640" w:firstLineChars="200"/>
        <w:rPr>
          <w:rFonts w:ascii="Times New Roman Regular" w:hAnsi="Times New Roman Regular" w:cs="Times New Roman Regular"/>
          <w:szCs w:val="32"/>
        </w:rPr>
      </w:pPr>
      <w:r>
        <w:rPr>
          <w:rFonts w:ascii="Times New Roman Regular" w:hAnsi="Times New Roman Regular" w:cs="Times New Roman Regular"/>
          <w:szCs w:val="32"/>
        </w:rPr>
        <w:t>水环境综合治理主要包括饮用水水源地建设工程、河湖水环境综合整治工程、河湖生态健康工程、地下水环境保护工程、再生水利用工程、船舶港口污染控制工程等。</w:t>
      </w:r>
    </w:p>
    <w:p w:rsidR="00B373FD">
      <w:pPr>
        <w:adjustRightInd w:val="0"/>
        <w:snapToGrid w:val="0"/>
        <w:ind w:firstLine="640" w:firstLineChars="200"/>
        <w:rPr>
          <w:rFonts w:ascii="Times New Roman Regular" w:hAnsi="Times New Roman Regular" w:cs="Times New Roman Regular"/>
          <w:szCs w:val="32"/>
        </w:rPr>
      </w:pPr>
      <w:r>
        <w:rPr>
          <w:rFonts w:ascii="Times New Roman Regular" w:hAnsi="Times New Roman Regular" w:cs="Times New Roman Regular"/>
          <w:szCs w:val="32"/>
        </w:rPr>
        <w:t>土壤环境治理修复主要包括污染土壤环境调查工程、重点行业企业搬迁后污染场地风险防控工程、农用地和建设用地土壤治理与修复工程等。</w:t>
      </w:r>
    </w:p>
    <w:p w:rsidR="00B373FD">
      <w:pPr>
        <w:adjustRightInd w:val="0"/>
        <w:snapToGrid w:val="0"/>
        <w:ind w:firstLine="640" w:firstLineChars="200"/>
        <w:rPr>
          <w:rFonts w:ascii="Times New Roman Regular" w:hAnsi="Times New Roman Regular" w:cs="Times New Roman Regular"/>
          <w:szCs w:val="32"/>
        </w:rPr>
      </w:pPr>
      <w:r>
        <w:rPr>
          <w:rFonts w:ascii="Times New Roman Regular" w:hAnsi="Times New Roman Regular" w:cs="Times New Roman Regular"/>
          <w:szCs w:val="32"/>
        </w:rPr>
        <w:t>生态系统保护修复主要包括自然保护地建设工程、生物多样性保护工程、湿地保护与修复工程、国土绿化行动工程、水土保持工程等。</w:t>
      </w:r>
    </w:p>
    <w:p w:rsidR="00B373FD">
      <w:pPr>
        <w:adjustRightInd w:val="0"/>
        <w:snapToGrid w:val="0"/>
        <w:ind w:firstLine="640" w:firstLineChars="200"/>
        <w:rPr>
          <w:rFonts w:ascii="Times New Roman Regular" w:hAnsi="Times New Roman Regular" w:cs="Times New Roman Regular"/>
          <w:szCs w:val="32"/>
        </w:rPr>
      </w:pPr>
      <w:r>
        <w:rPr>
          <w:rFonts w:ascii="Times New Roman Regular" w:hAnsi="Times New Roman Regular" w:cs="Times New Roman Regular"/>
          <w:szCs w:val="32"/>
        </w:rPr>
        <w:t>城乡环境综合整治主要包括城乡黑臭河道整治工程、绿地公园建设工程、污水处理设施建设及管网配套工程、生活垃圾分类处置设施建设工程、农业面源污染控制工程、美丽</w:t>
      </w:r>
      <w:r>
        <w:rPr>
          <w:rFonts w:ascii="Times New Roman Regular" w:hAnsi="Times New Roman Regular" w:cs="Times New Roman Regular"/>
          <w:szCs w:val="32"/>
        </w:rPr>
        <w:t>乡村建设工程等。</w:t>
      </w:r>
    </w:p>
    <w:p w:rsidR="00B373FD">
      <w:pPr>
        <w:adjustRightInd w:val="0"/>
        <w:snapToGrid w:val="0"/>
        <w:ind w:firstLine="640" w:firstLineChars="200"/>
        <w:rPr>
          <w:rFonts w:ascii="Times New Roman Regular" w:hAnsi="Times New Roman Regular" w:cs="Times New Roman Regular"/>
          <w:szCs w:val="32"/>
        </w:rPr>
      </w:pPr>
      <w:r>
        <w:rPr>
          <w:rFonts w:ascii="Times New Roman Regular" w:hAnsi="Times New Roman Regular" w:cs="Times New Roman Regular"/>
          <w:szCs w:val="32"/>
        </w:rPr>
        <w:t>区域环境风险防控主要包括重金属污染控制工程、工业固废处置利用工程、核与辐射安全工程、园区环境管理工程等。</w:t>
      </w:r>
    </w:p>
    <w:p w:rsidR="00B373FD">
      <w:pPr>
        <w:adjustRightInd w:val="0"/>
        <w:snapToGrid w:val="0"/>
        <w:ind w:firstLine="640" w:firstLineChars="200"/>
        <w:rPr>
          <w:rFonts w:ascii="Times New Roman Regular" w:hAnsi="Times New Roman Regular" w:cs="Times New Roman Regular"/>
          <w:szCs w:val="32"/>
        </w:rPr>
      </w:pPr>
      <w:r>
        <w:rPr>
          <w:rFonts w:ascii="Times New Roman Regular" w:hAnsi="Times New Roman Regular" w:cs="Times New Roman Regular"/>
          <w:szCs w:val="32"/>
        </w:rPr>
        <w:t>环境监测监控能力主要包括生态环境监测网络建设工程、环境执法监管能力提升工程等。</w:t>
      </w:r>
    </w:p>
    <w:p w:rsidR="00B373FD">
      <w:pPr>
        <w:adjustRightInd w:val="0"/>
        <w:snapToGrid w:val="0"/>
        <w:ind w:firstLine="640" w:firstLineChars="200"/>
        <w:rPr>
          <w:rFonts w:ascii="Times New Roman Regular" w:hAnsi="Times New Roman Regular" w:cs="Times New Roman Regular"/>
          <w:szCs w:val="32"/>
        </w:rPr>
      </w:pPr>
      <w:r>
        <w:rPr>
          <w:rFonts w:ascii="Times New Roman Regular" w:hAnsi="Times New Roman Regular" w:cs="Times New Roman Regular"/>
          <w:szCs w:val="32"/>
        </w:rPr>
        <w:t>生态文明建设主要包括生态文明建设宣传教育、生态创建等。</w:t>
      </w:r>
    </w:p>
    <w:p w:rsidR="00B373FD">
      <w:pPr>
        <w:adjustRightInd w:val="0"/>
        <w:snapToGrid w:val="0"/>
        <w:spacing w:after="156" w:afterLines="50"/>
        <w:ind w:firstLine="640" w:firstLineChars="200"/>
        <w:jc w:val="center"/>
        <w:rPr>
          <w:rFonts w:ascii="Times New Roman Regular" w:eastAsia="黑体" w:hAnsi="Times New Roman Regular" w:cs="Times New Roman Regular"/>
          <w:sz w:val="28"/>
          <w:szCs w:val="28"/>
        </w:rPr>
      </w:pPr>
      <w:r>
        <w:rPr>
          <w:rFonts w:ascii="Times New Roman Regular" w:eastAsia="黑体" w:hAnsi="Times New Roman Regular" w:cs="Times New Roman Regular"/>
          <w:sz w:val="28"/>
          <w:szCs w:val="28"/>
        </w:rPr>
        <w:t>表</w:t>
      </w:r>
      <w:r>
        <w:rPr>
          <w:rFonts w:ascii="Times New Roman Regular" w:eastAsia="黑体" w:hAnsi="Times New Roman Regular" w:cs="Times New Roman Regular"/>
          <w:sz w:val="28"/>
          <w:szCs w:val="28"/>
        </w:rPr>
        <w:t>7-1 “</w:t>
      </w:r>
      <w:r>
        <w:rPr>
          <w:rFonts w:ascii="Times New Roman Regular" w:eastAsia="黑体" w:hAnsi="Times New Roman Regular" w:cs="Times New Roman Regular"/>
          <w:sz w:val="28"/>
          <w:szCs w:val="28"/>
        </w:rPr>
        <w:t>十四五</w:t>
      </w:r>
      <w:r>
        <w:rPr>
          <w:rFonts w:ascii="Times New Roman Regular" w:eastAsia="黑体" w:hAnsi="Times New Roman Regular" w:cs="Times New Roman Regular"/>
          <w:sz w:val="28"/>
          <w:szCs w:val="28"/>
        </w:rPr>
        <w:t>”</w:t>
      </w:r>
      <w:r>
        <w:rPr>
          <w:rFonts w:ascii="Times New Roman Regular" w:eastAsia="黑体" w:hAnsi="Times New Roman Regular" w:cs="Times New Roman Regular"/>
          <w:sz w:val="28"/>
          <w:szCs w:val="28"/>
        </w:rPr>
        <w:t>时期重点工程项目汇总表</w:t>
      </w:r>
    </w:p>
    <w:tbl>
      <w:tblPr>
        <w:tblW w:w="8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5"/>
        <w:gridCol w:w="3142"/>
        <w:gridCol w:w="2104"/>
        <w:gridCol w:w="1853"/>
      </w:tblGrid>
      <w:tr>
        <w:tblPrEx>
          <w:tblW w:w="8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340"/>
          <w:jc w:val="center"/>
        </w:trPr>
        <w:tc>
          <w:tcPr>
            <w:tcW w:w="1015" w:type="dxa"/>
            <w:vAlign w:val="center"/>
          </w:tcPr>
          <w:p w:rsidR="00B373FD">
            <w:pPr>
              <w:adjustRightInd w:val="0"/>
              <w:snapToGrid w:val="0"/>
              <w:jc w:val="center"/>
              <w:rPr>
                <w:rFonts w:ascii="Times New Roman Regular" w:eastAsia="黑体" w:hAnsi="Times New Roman Regular" w:cs="Times New Roman Regular"/>
                <w:b/>
                <w:color w:val="000000"/>
                <w:sz w:val="24"/>
                <w:szCs w:val="24"/>
              </w:rPr>
            </w:pPr>
            <w:r>
              <w:rPr>
                <w:rFonts w:ascii="Times New Roman Regular" w:eastAsia="黑体" w:hAnsi="Times New Roman Regular" w:cs="Times New Roman Regular"/>
                <w:b/>
                <w:color w:val="000000"/>
                <w:sz w:val="24"/>
                <w:szCs w:val="24"/>
              </w:rPr>
              <w:t>序号</w:t>
            </w:r>
          </w:p>
        </w:tc>
        <w:tc>
          <w:tcPr>
            <w:tcW w:w="3142" w:type="dxa"/>
            <w:vAlign w:val="center"/>
          </w:tcPr>
          <w:p w:rsidR="00B373FD">
            <w:pPr>
              <w:adjustRightInd w:val="0"/>
              <w:snapToGrid w:val="0"/>
              <w:jc w:val="center"/>
              <w:rPr>
                <w:rFonts w:ascii="Times New Roman Regular" w:eastAsia="黑体" w:hAnsi="Times New Roman Regular" w:cs="Times New Roman Regular"/>
                <w:b/>
                <w:color w:val="000000"/>
                <w:sz w:val="24"/>
                <w:szCs w:val="24"/>
              </w:rPr>
            </w:pPr>
            <w:r>
              <w:rPr>
                <w:rFonts w:ascii="Times New Roman Regular" w:eastAsia="黑体" w:hAnsi="Times New Roman Regular" w:cs="Times New Roman Regular"/>
                <w:b/>
                <w:color w:val="000000"/>
                <w:sz w:val="24"/>
                <w:szCs w:val="24"/>
              </w:rPr>
              <w:t>方</w:t>
            </w:r>
            <w:r>
              <w:rPr>
                <w:rFonts w:ascii="Times New Roman Regular" w:eastAsia="黑体" w:hAnsi="Times New Roman Regular" w:cs="Times New Roman Regular"/>
                <w:b/>
                <w:color w:val="000000"/>
                <w:sz w:val="24"/>
                <w:szCs w:val="24"/>
              </w:rPr>
              <w:t xml:space="preserve">  </w:t>
            </w:r>
            <w:r>
              <w:rPr>
                <w:rFonts w:ascii="Times New Roman Regular" w:eastAsia="黑体" w:hAnsi="Times New Roman Regular" w:cs="Times New Roman Regular"/>
                <w:b/>
                <w:color w:val="000000"/>
                <w:sz w:val="24"/>
                <w:szCs w:val="24"/>
              </w:rPr>
              <w:t>面</w:t>
            </w:r>
          </w:p>
        </w:tc>
        <w:tc>
          <w:tcPr>
            <w:tcW w:w="2104" w:type="dxa"/>
            <w:vAlign w:val="center"/>
          </w:tcPr>
          <w:p w:rsidR="00B373FD">
            <w:pPr>
              <w:adjustRightInd w:val="0"/>
              <w:snapToGrid w:val="0"/>
              <w:jc w:val="center"/>
              <w:rPr>
                <w:rFonts w:ascii="Times New Roman Regular" w:eastAsia="黑体" w:hAnsi="Times New Roman Regular" w:cs="Times New Roman Regular"/>
                <w:b/>
                <w:color w:val="000000"/>
                <w:sz w:val="24"/>
                <w:szCs w:val="24"/>
              </w:rPr>
            </w:pPr>
            <w:r>
              <w:rPr>
                <w:rFonts w:ascii="Times New Roman Regular" w:eastAsia="黑体" w:hAnsi="Times New Roman Regular" w:cs="Times New Roman Regular"/>
                <w:b/>
                <w:color w:val="000000"/>
                <w:sz w:val="24"/>
                <w:szCs w:val="24"/>
              </w:rPr>
              <w:t>数</w:t>
            </w:r>
            <w:r>
              <w:rPr>
                <w:rFonts w:ascii="Times New Roman Regular" w:eastAsia="黑体" w:hAnsi="Times New Roman Regular" w:cs="Times New Roman Regular"/>
                <w:b/>
                <w:color w:val="000000"/>
                <w:sz w:val="24"/>
                <w:szCs w:val="24"/>
              </w:rPr>
              <w:t xml:space="preserve"> </w:t>
            </w:r>
            <w:r>
              <w:rPr>
                <w:rFonts w:ascii="Times New Roman Regular" w:eastAsia="黑体" w:hAnsi="Times New Roman Regular" w:cs="Times New Roman Regular"/>
                <w:b/>
                <w:color w:val="000000"/>
                <w:sz w:val="24"/>
                <w:szCs w:val="24"/>
              </w:rPr>
              <w:t>量</w:t>
            </w:r>
          </w:p>
        </w:tc>
        <w:tc>
          <w:tcPr>
            <w:tcW w:w="1853" w:type="dxa"/>
            <w:vAlign w:val="center"/>
          </w:tcPr>
          <w:p w:rsidR="00B373FD">
            <w:pPr>
              <w:adjustRightInd w:val="0"/>
              <w:snapToGrid w:val="0"/>
              <w:jc w:val="center"/>
              <w:rPr>
                <w:rFonts w:ascii="Times New Roman Regular" w:eastAsia="黑体" w:hAnsi="Times New Roman Regular" w:cs="Times New Roman Regular"/>
                <w:b/>
                <w:color w:val="000000"/>
                <w:sz w:val="24"/>
                <w:szCs w:val="24"/>
              </w:rPr>
            </w:pPr>
            <w:r>
              <w:rPr>
                <w:rFonts w:ascii="Times New Roman Regular" w:eastAsia="黑体" w:hAnsi="Times New Roman Regular" w:cs="Times New Roman Regular"/>
                <w:b/>
                <w:color w:val="000000"/>
                <w:sz w:val="24"/>
                <w:szCs w:val="24"/>
              </w:rPr>
              <w:t>投资（亿元）</w:t>
            </w:r>
          </w:p>
        </w:tc>
      </w:tr>
      <w:tr w:rsidTr="00AC0AE4">
        <w:tblPrEx>
          <w:tblW w:w="8114" w:type="dxa"/>
          <w:jc w:val="center"/>
          <w:tblLook w:val="04A0"/>
        </w:tblPrEx>
        <w:trPr>
          <w:trHeight w:val="340"/>
          <w:jc w:val="center"/>
        </w:trPr>
        <w:tc>
          <w:tcPr>
            <w:tcW w:w="1015" w:type="dxa"/>
            <w:vAlign w:val="center"/>
          </w:tcPr>
          <w:p w:rsidR="000E7D14" w:rsidP="000E7D14">
            <w:pPr>
              <w:numPr>
                <w:ilvl w:val="0"/>
                <w:numId w:val="10"/>
              </w:numPr>
              <w:adjustRightInd w:val="0"/>
              <w:snapToGrid w:val="0"/>
              <w:jc w:val="center"/>
              <w:rPr>
                <w:rFonts w:ascii="Times New Roman Regular" w:eastAsia="宋体" w:hAnsi="Times New Roman Regular" w:cs="Times New Roman Regular"/>
                <w:color w:val="000000"/>
                <w:sz w:val="24"/>
                <w:szCs w:val="24"/>
              </w:rPr>
            </w:pPr>
          </w:p>
        </w:tc>
        <w:tc>
          <w:tcPr>
            <w:tcW w:w="3142" w:type="dxa"/>
            <w:vAlign w:val="center"/>
          </w:tcPr>
          <w:p w:rsidR="000E7D14" w:rsidP="000E7D14">
            <w:pPr>
              <w:adjustRightInd w:val="0"/>
              <w:snapToGrid w:val="0"/>
              <w:jc w:val="center"/>
              <w:rPr>
                <w:rFonts w:ascii="Times New Roman Regular" w:eastAsia="宋体" w:hAnsi="Times New Roman Regular" w:cs="Times New Roman Regular"/>
                <w:color w:val="000000"/>
                <w:sz w:val="24"/>
                <w:szCs w:val="24"/>
              </w:rPr>
            </w:pPr>
            <w:r>
              <w:rPr>
                <w:rFonts w:ascii="Times New Roman Regular" w:eastAsia="宋体" w:hAnsi="Times New Roman Regular" w:cs="Times New Roman Regular"/>
                <w:color w:val="000000"/>
                <w:sz w:val="24"/>
                <w:szCs w:val="24"/>
              </w:rPr>
              <w:t>大气环境质量提升</w:t>
            </w:r>
          </w:p>
        </w:tc>
        <w:tc>
          <w:tcPr>
            <w:tcW w:w="2104" w:type="dxa"/>
          </w:tcPr>
          <w:p w:rsidR="000E7D14" w:rsidRPr="000E7D14" w:rsidP="000E7D14">
            <w:pPr>
              <w:jc w:val="center"/>
              <w:rPr>
                <w:sz w:val="24"/>
                <w:szCs w:val="24"/>
              </w:rPr>
            </w:pPr>
            <w:r w:rsidRPr="000E7D14">
              <w:rPr>
                <w:sz w:val="24"/>
                <w:szCs w:val="24"/>
              </w:rPr>
              <w:t>6</w:t>
            </w:r>
          </w:p>
        </w:tc>
        <w:tc>
          <w:tcPr>
            <w:tcW w:w="1853" w:type="dxa"/>
          </w:tcPr>
          <w:p w:rsidR="000E7D14" w:rsidRPr="000E7D14" w:rsidP="000E7D14">
            <w:pPr>
              <w:jc w:val="center"/>
              <w:rPr>
                <w:sz w:val="24"/>
                <w:szCs w:val="24"/>
              </w:rPr>
            </w:pPr>
            <w:r w:rsidRPr="000E7D14">
              <w:rPr>
                <w:sz w:val="24"/>
                <w:szCs w:val="24"/>
              </w:rPr>
              <w:t>2.59</w:t>
            </w:r>
          </w:p>
        </w:tc>
      </w:tr>
      <w:tr w:rsidTr="00AC0AE4">
        <w:tblPrEx>
          <w:tblW w:w="8114" w:type="dxa"/>
          <w:jc w:val="center"/>
          <w:tblLook w:val="04A0"/>
        </w:tblPrEx>
        <w:trPr>
          <w:trHeight w:val="340"/>
          <w:jc w:val="center"/>
        </w:trPr>
        <w:tc>
          <w:tcPr>
            <w:tcW w:w="1015" w:type="dxa"/>
            <w:vAlign w:val="center"/>
          </w:tcPr>
          <w:p w:rsidR="000E7D14" w:rsidP="000E7D14">
            <w:pPr>
              <w:numPr>
                <w:ilvl w:val="0"/>
                <w:numId w:val="10"/>
              </w:numPr>
              <w:adjustRightInd w:val="0"/>
              <w:snapToGrid w:val="0"/>
              <w:jc w:val="center"/>
              <w:rPr>
                <w:rFonts w:ascii="Times New Roman Regular" w:eastAsia="宋体" w:hAnsi="Times New Roman Regular" w:cs="Times New Roman Regular"/>
                <w:color w:val="000000"/>
                <w:sz w:val="24"/>
                <w:szCs w:val="24"/>
              </w:rPr>
            </w:pPr>
          </w:p>
        </w:tc>
        <w:tc>
          <w:tcPr>
            <w:tcW w:w="3142" w:type="dxa"/>
            <w:vAlign w:val="center"/>
          </w:tcPr>
          <w:p w:rsidR="000E7D14" w:rsidP="000E7D14">
            <w:pPr>
              <w:adjustRightInd w:val="0"/>
              <w:snapToGrid w:val="0"/>
              <w:jc w:val="center"/>
              <w:rPr>
                <w:rFonts w:ascii="Times New Roman Regular" w:eastAsia="宋体" w:hAnsi="Times New Roman Regular" w:cs="Times New Roman Regular"/>
                <w:color w:val="000000"/>
                <w:sz w:val="24"/>
                <w:szCs w:val="24"/>
              </w:rPr>
            </w:pPr>
            <w:r>
              <w:rPr>
                <w:rFonts w:ascii="Times New Roman Regular" w:eastAsia="宋体" w:hAnsi="Times New Roman Regular" w:cs="Times New Roman Regular"/>
                <w:color w:val="000000"/>
                <w:sz w:val="24"/>
                <w:szCs w:val="24"/>
              </w:rPr>
              <w:t>水环境综合治理</w:t>
            </w:r>
          </w:p>
        </w:tc>
        <w:tc>
          <w:tcPr>
            <w:tcW w:w="2104" w:type="dxa"/>
          </w:tcPr>
          <w:p w:rsidR="000E7D14" w:rsidRPr="000E7D14" w:rsidP="000E7D14">
            <w:pPr>
              <w:jc w:val="center"/>
              <w:rPr>
                <w:sz w:val="24"/>
                <w:szCs w:val="24"/>
              </w:rPr>
            </w:pPr>
            <w:r w:rsidRPr="000E7D14">
              <w:rPr>
                <w:sz w:val="24"/>
                <w:szCs w:val="24"/>
              </w:rPr>
              <w:t>7</w:t>
            </w:r>
          </w:p>
        </w:tc>
        <w:tc>
          <w:tcPr>
            <w:tcW w:w="1853" w:type="dxa"/>
          </w:tcPr>
          <w:p w:rsidR="000E7D14" w:rsidRPr="000E7D14" w:rsidP="000E7D14">
            <w:pPr>
              <w:jc w:val="center"/>
              <w:rPr>
                <w:sz w:val="24"/>
                <w:szCs w:val="24"/>
              </w:rPr>
            </w:pPr>
            <w:r w:rsidRPr="000E7D14">
              <w:rPr>
                <w:sz w:val="24"/>
                <w:szCs w:val="24"/>
              </w:rPr>
              <w:t>8.83</w:t>
            </w:r>
          </w:p>
        </w:tc>
      </w:tr>
      <w:tr w:rsidTr="00AC0AE4">
        <w:tblPrEx>
          <w:tblW w:w="8114" w:type="dxa"/>
          <w:jc w:val="center"/>
          <w:tblLook w:val="04A0"/>
        </w:tblPrEx>
        <w:trPr>
          <w:trHeight w:val="340"/>
          <w:jc w:val="center"/>
        </w:trPr>
        <w:tc>
          <w:tcPr>
            <w:tcW w:w="1015" w:type="dxa"/>
            <w:vAlign w:val="center"/>
          </w:tcPr>
          <w:p w:rsidR="000E7D14" w:rsidP="000E7D14">
            <w:pPr>
              <w:numPr>
                <w:ilvl w:val="0"/>
                <w:numId w:val="10"/>
              </w:numPr>
              <w:adjustRightInd w:val="0"/>
              <w:snapToGrid w:val="0"/>
              <w:jc w:val="center"/>
              <w:rPr>
                <w:rFonts w:ascii="Times New Roman Regular" w:eastAsia="宋体" w:hAnsi="Times New Roman Regular" w:cs="Times New Roman Regular"/>
                <w:color w:val="000000"/>
                <w:sz w:val="24"/>
                <w:szCs w:val="24"/>
              </w:rPr>
            </w:pPr>
          </w:p>
        </w:tc>
        <w:tc>
          <w:tcPr>
            <w:tcW w:w="3142" w:type="dxa"/>
            <w:vAlign w:val="center"/>
          </w:tcPr>
          <w:p w:rsidR="000E7D14" w:rsidP="000E7D14">
            <w:pPr>
              <w:adjustRightInd w:val="0"/>
              <w:snapToGrid w:val="0"/>
              <w:jc w:val="center"/>
              <w:rPr>
                <w:rFonts w:ascii="Times New Roman Regular" w:eastAsia="宋体" w:hAnsi="Times New Roman Regular" w:cs="Times New Roman Regular"/>
                <w:color w:val="000000"/>
                <w:sz w:val="24"/>
                <w:szCs w:val="24"/>
              </w:rPr>
            </w:pPr>
            <w:r>
              <w:rPr>
                <w:rFonts w:ascii="Times New Roman Regular" w:eastAsia="宋体" w:hAnsi="Times New Roman Regular" w:cs="Times New Roman Regular"/>
                <w:color w:val="000000"/>
                <w:sz w:val="24"/>
                <w:szCs w:val="24"/>
              </w:rPr>
              <w:t>土壤环境治理修复</w:t>
            </w:r>
          </w:p>
        </w:tc>
        <w:tc>
          <w:tcPr>
            <w:tcW w:w="2104" w:type="dxa"/>
          </w:tcPr>
          <w:p w:rsidR="000E7D14" w:rsidRPr="000E7D14" w:rsidP="000E7D14">
            <w:pPr>
              <w:jc w:val="center"/>
              <w:rPr>
                <w:sz w:val="24"/>
                <w:szCs w:val="24"/>
              </w:rPr>
            </w:pPr>
            <w:r w:rsidRPr="000E7D14">
              <w:rPr>
                <w:sz w:val="24"/>
                <w:szCs w:val="24"/>
              </w:rPr>
              <w:t>3</w:t>
            </w:r>
          </w:p>
        </w:tc>
        <w:tc>
          <w:tcPr>
            <w:tcW w:w="1853" w:type="dxa"/>
          </w:tcPr>
          <w:p w:rsidR="000E7D14" w:rsidRPr="000E7D14" w:rsidP="000E7D14">
            <w:pPr>
              <w:jc w:val="center"/>
              <w:rPr>
                <w:sz w:val="24"/>
                <w:szCs w:val="24"/>
              </w:rPr>
            </w:pPr>
            <w:r w:rsidRPr="000E7D14">
              <w:rPr>
                <w:sz w:val="24"/>
                <w:szCs w:val="24"/>
              </w:rPr>
              <w:t>0.6</w:t>
            </w:r>
          </w:p>
        </w:tc>
      </w:tr>
      <w:tr w:rsidTr="00AC0AE4">
        <w:tblPrEx>
          <w:tblW w:w="8114" w:type="dxa"/>
          <w:jc w:val="center"/>
          <w:tblLook w:val="04A0"/>
        </w:tblPrEx>
        <w:trPr>
          <w:trHeight w:val="340"/>
          <w:jc w:val="center"/>
        </w:trPr>
        <w:tc>
          <w:tcPr>
            <w:tcW w:w="1015" w:type="dxa"/>
            <w:vAlign w:val="center"/>
          </w:tcPr>
          <w:p w:rsidR="000E7D14" w:rsidP="000E7D14">
            <w:pPr>
              <w:numPr>
                <w:ilvl w:val="0"/>
                <w:numId w:val="10"/>
              </w:numPr>
              <w:adjustRightInd w:val="0"/>
              <w:snapToGrid w:val="0"/>
              <w:jc w:val="center"/>
              <w:rPr>
                <w:rFonts w:ascii="Times New Roman Regular" w:eastAsia="宋体" w:hAnsi="Times New Roman Regular" w:cs="Times New Roman Regular"/>
                <w:color w:val="000000"/>
                <w:sz w:val="24"/>
                <w:szCs w:val="24"/>
              </w:rPr>
            </w:pPr>
          </w:p>
        </w:tc>
        <w:tc>
          <w:tcPr>
            <w:tcW w:w="3142" w:type="dxa"/>
            <w:vAlign w:val="center"/>
          </w:tcPr>
          <w:p w:rsidR="000E7D14" w:rsidP="000E7D14">
            <w:pPr>
              <w:adjustRightInd w:val="0"/>
              <w:snapToGrid w:val="0"/>
              <w:jc w:val="center"/>
              <w:rPr>
                <w:rFonts w:ascii="Times New Roman Regular" w:eastAsia="宋体" w:hAnsi="Times New Roman Regular" w:cs="Times New Roman Regular"/>
                <w:color w:val="000000"/>
                <w:sz w:val="24"/>
                <w:szCs w:val="24"/>
              </w:rPr>
            </w:pPr>
            <w:r>
              <w:rPr>
                <w:rFonts w:ascii="Times New Roman Regular" w:eastAsia="宋体" w:hAnsi="Times New Roman Regular" w:cs="Times New Roman Regular"/>
                <w:color w:val="000000"/>
                <w:sz w:val="24"/>
                <w:szCs w:val="24"/>
              </w:rPr>
              <w:t>生态系统保护修复</w:t>
            </w:r>
          </w:p>
        </w:tc>
        <w:tc>
          <w:tcPr>
            <w:tcW w:w="2104" w:type="dxa"/>
          </w:tcPr>
          <w:p w:rsidR="000E7D14" w:rsidRPr="000E7D14" w:rsidP="000E7D14">
            <w:pPr>
              <w:jc w:val="center"/>
              <w:rPr>
                <w:sz w:val="24"/>
                <w:szCs w:val="24"/>
              </w:rPr>
            </w:pPr>
            <w:r w:rsidRPr="000E7D14">
              <w:rPr>
                <w:sz w:val="24"/>
                <w:szCs w:val="24"/>
              </w:rPr>
              <w:t>1</w:t>
            </w:r>
          </w:p>
        </w:tc>
        <w:tc>
          <w:tcPr>
            <w:tcW w:w="1853" w:type="dxa"/>
          </w:tcPr>
          <w:p w:rsidR="000E7D14" w:rsidRPr="000E7D14" w:rsidP="000E7D14">
            <w:pPr>
              <w:jc w:val="center"/>
              <w:rPr>
                <w:sz w:val="24"/>
                <w:szCs w:val="24"/>
              </w:rPr>
            </w:pPr>
            <w:r w:rsidRPr="000E7D14">
              <w:rPr>
                <w:sz w:val="24"/>
                <w:szCs w:val="24"/>
              </w:rPr>
              <w:t>0.02</w:t>
            </w:r>
          </w:p>
        </w:tc>
      </w:tr>
      <w:tr w:rsidTr="00AC0AE4">
        <w:tblPrEx>
          <w:tblW w:w="8114" w:type="dxa"/>
          <w:jc w:val="center"/>
          <w:tblLook w:val="04A0"/>
        </w:tblPrEx>
        <w:trPr>
          <w:trHeight w:val="340"/>
          <w:jc w:val="center"/>
        </w:trPr>
        <w:tc>
          <w:tcPr>
            <w:tcW w:w="1015" w:type="dxa"/>
            <w:vAlign w:val="center"/>
          </w:tcPr>
          <w:p w:rsidR="000E7D14" w:rsidP="000E7D14">
            <w:pPr>
              <w:numPr>
                <w:ilvl w:val="0"/>
                <w:numId w:val="10"/>
              </w:numPr>
              <w:adjustRightInd w:val="0"/>
              <w:snapToGrid w:val="0"/>
              <w:jc w:val="center"/>
              <w:rPr>
                <w:rFonts w:ascii="Times New Roman Regular" w:eastAsia="宋体" w:hAnsi="Times New Roman Regular" w:cs="Times New Roman Regular"/>
                <w:color w:val="000000"/>
                <w:sz w:val="24"/>
                <w:szCs w:val="24"/>
              </w:rPr>
            </w:pPr>
          </w:p>
        </w:tc>
        <w:tc>
          <w:tcPr>
            <w:tcW w:w="3142" w:type="dxa"/>
            <w:vAlign w:val="center"/>
          </w:tcPr>
          <w:p w:rsidR="000E7D14" w:rsidP="000E7D14">
            <w:pPr>
              <w:adjustRightInd w:val="0"/>
              <w:snapToGrid w:val="0"/>
              <w:jc w:val="center"/>
              <w:rPr>
                <w:rFonts w:ascii="Times New Roman Regular" w:eastAsia="宋体" w:hAnsi="Times New Roman Regular" w:cs="Times New Roman Regular"/>
                <w:color w:val="000000"/>
                <w:sz w:val="24"/>
                <w:szCs w:val="24"/>
              </w:rPr>
            </w:pPr>
            <w:r>
              <w:rPr>
                <w:rFonts w:ascii="Times New Roman Regular" w:eastAsia="宋体" w:hAnsi="Times New Roman Regular" w:cs="Times New Roman Regular"/>
                <w:color w:val="000000"/>
                <w:sz w:val="24"/>
                <w:szCs w:val="24"/>
              </w:rPr>
              <w:t>城乡环境综合整治</w:t>
            </w:r>
          </w:p>
        </w:tc>
        <w:tc>
          <w:tcPr>
            <w:tcW w:w="2104" w:type="dxa"/>
          </w:tcPr>
          <w:p w:rsidR="000E7D14" w:rsidRPr="000E7D14" w:rsidP="000E7D14">
            <w:pPr>
              <w:jc w:val="center"/>
              <w:rPr>
                <w:sz w:val="24"/>
                <w:szCs w:val="24"/>
              </w:rPr>
            </w:pPr>
            <w:r w:rsidRPr="000E7D14">
              <w:rPr>
                <w:sz w:val="24"/>
                <w:szCs w:val="24"/>
              </w:rPr>
              <w:t>5</w:t>
            </w:r>
          </w:p>
        </w:tc>
        <w:tc>
          <w:tcPr>
            <w:tcW w:w="1853" w:type="dxa"/>
          </w:tcPr>
          <w:p w:rsidR="000E7D14" w:rsidRPr="000E7D14" w:rsidP="000E7D14">
            <w:pPr>
              <w:jc w:val="center"/>
              <w:rPr>
                <w:sz w:val="24"/>
                <w:szCs w:val="24"/>
              </w:rPr>
            </w:pPr>
            <w:r w:rsidRPr="000E7D14">
              <w:rPr>
                <w:sz w:val="24"/>
                <w:szCs w:val="24"/>
              </w:rPr>
              <w:t>0.9</w:t>
            </w:r>
          </w:p>
        </w:tc>
      </w:tr>
      <w:tr w:rsidTr="00AC0AE4">
        <w:tblPrEx>
          <w:tblW w:w="8114" w:type="dxa"/>
          <w:jc w:val="center"/>
          <w:tblLook w:val="04A0"/>
        </w:tblPrEx>
        <w:trPr>
          <w:trHeight w:val="340"/>
          <w:jc w:val="center"/>
        </w:trPr>
        <w:tc>
          <w:tcPr>
            <w:tcW w:w="1015" w:type="dxa"/>
            <w:vAlign w:val="center"/>
          </w:tcPr>
          <w:p w:rsidR="000E7D14" w:rsidP="000E7D14">
            <w:pPr>
              <w:numPr>
                <w:ilvl w:val="0"/>
                <w:numId w:val="10"/>
              </w:numPr>
              <w:adjustRightInd w:val="0"/>
              <w:snapToGrid w:val="0"/>
              <w:jc w:val="center"/>
              <w:rPr>
                <w:rFonts w:ascii="Times New Roman Regular" w:eastAsia="宋体" w:hAnsi="Times New Roman Regular" w:cs="Times New Roman Regular"/>
                <w:color w:val="000000"/>
                <w:sz w:val="24"/>
                <w:szCs w:val="24"/>
              </w:rPr>
            </w:pPr>
          </w:p>
        </w:tc>
        <w:tc>
          <w:tcPr>
            <w:tcW w:w="3142" w:type="dxa"/>
            <w:vAlign w:val="center"/>
          </w:tcPr>
          <w:p w:rsidR="000E7D14" w:rsidP="000E7D14">
            <w:pPr>
              <w:adjustRightInd w:val="0"/>
              <w:snapToGrid w:val="0"/>
              <w:jc w:val="center"/>
              <w:rPr>
                <w:rFonts w:ascii="Times New Roman Regular" w:eastAsia="宋体" w:hAnsi="Times New Roman Regular" w:cs="Times New Roman Regular"/>
                <w:color w:val="000000"/>
                <w:sz w:val="24"/>
                <w:szCs w:val="24"/>
              </w:rPr>
            </w:pPr>
            <w:r>
              <w:rPr>
                <w:rFonts w:ascii="Times New Roman Regular" w:eastAsia="宋体" w:hAnsi="Times New Roman Regular" w:cs="Times New Roman Regular"/>
                <w:color w:val="000000"/>
                <w:sz w:val="24"/>
                <w:szCs w:val="24"/>
              </w:rPr>
              <w:t>区域环境风险防控</w:t>
            </w:r>
          </w:p>
        </w:tc>
        <w:tc>
          <w:tcPr>
            <w:tcW w:w="2104" w:type="dxa"/>
          </w:tcPr>
          <w:p w:rsidR="000E7D14" w:rsidRPr="000E7D14" w:rsidP="000E7D14">
            <w:pPr>
              <w:jc w:val="center"/>
              <w:rPr>
                <w:sz w:val="24"/>
                <w:szCs w:val="24"/>
              </w:rPr>
            </w:pPr>
            <w:r w:rsidRPr="000E7D14">
              <w:rPr>
                <w:sz w:val="24"/>
                <w:szCs w:val="24"/>
              </w:rPr>
              <w:t>5</w:t>
            </w:r>
          </w:p>
        </w:tc>
        <w:tc>
          <w:tcPr>
            <w:tcW w:w="1853" w:type="dxa"/>
          </w:tcPr>
          <w:p w:rsidR="000E7D14" w:rsidRPr="000E7D14" w:rsidP="000E7D14">
            <w:pPr>
              <w:jc w:val="center"/>
              <w:rPr>
                <w:sz w:val="24"/>
                <w:szCs w:val="24"/>
              </w:rPr>
            </w:pPr>
            <w:r w:rsidRPr="000E7D14">
              <w:rPr>
                <w:sz w:val="24"/>
                <w:szCs w:val="24"/>
              </w:rPr>
              <w:t>22.8</w:t>
            </w:r>
          </w:p>
        </w:tc>
      </w:tr>
      <w:tr w:rsidTr="00AC0AE4">
        <w:tblPrEx>
          <w:tblW w:w="8114" w:type="dxa"/>
          <w:jc w:val="center"/>
          <w:tblLook w:val="04A0"/>
        </w:tblPrEx>
        <w:trPr>
          <w:trHeight w:val="340"/>
          <w:jc w:val="center"/>
        </w:trPr>
        <w:tc>
          <w:tcPr>
            <w:tcW w:w="1015" w:type="dxa"/>
            <w:vAlign w:val="center"/>
          </w:tcPr>
          <w:p w:rsidR="000E7D14" w:rsidP="000E7D14">
            <w:pPr>
              <w:numPr>
                <w:ilvl w:val="0"/>
                <w:numId w:val="10"/>
              </w:numPr>
              <w:adjustRightInd w:val="0"/>
              <w:snapToGrid w:val="0"/>
              <w:jc w:val="center"/>
              <w:rPr>
                <w:rFonts w:ascii="Times New Roman Regular" w:eastAsia="宋体" w:hAnsi="Times New Roman Regular" w:cs="Times New Roman Regular"/>
                <w:color w:val="000000"/>
                <w:sz w:val="24"/>
                <w:szCs w:val="24"/>
              </w:rPr>
            </w:pPr>
          </w:p>
        </w:tc>
        <w:tc>
          <w:tcPr>
            <w:tcW w:w="3142" w:type="dxa"/>
            <w:vAlign w:val="center"/>
          </w:tcPr>
          <w:p w:rsidR="000E7D14" w:rsidP="000E7D14">
            <w:pPr>
              <w:adjustRightInd w:val="0"/>
              <w:snapToGrid w:val="0"/>
              <w:jc w:val="center"/>
              <w:rPr>
                <w:rFonts w:ascii="Times New Roman Regular" w:eastAsia="宋体" w:hAnsi="Times New Roman Regular" w:cs="Times New Roman Regular"/>
                <w:color w:val="000000"/>
                <w:sz w:val="24"/>
                <w:szCs w:val="24"/>
              </w:rPr>
            </w:pPr>
            <w:r>
              <w:rPr>
                <w:rFonts w:ascii="Times New Roman Regular" w:eastAsia="宋体" w:hAnsi="Times New Roman Regular" w:cs="Times New Roman Regular"/>
                <w:color w:val="000000"/>
                <w:sz w:val="24"/>
                <w:szCs w:val="24"/>
              </w:rPr>
              <w:t>环境监测监控能力</w:t>
            </w:r>
          </w:p>
        </w:tc>
        <w:tc>
          <w:tcPr>
            <w:tcW w:w="2104" w:type="dxa"/>
          </w:tcPr>
          <w:p w:rsidR="000E7D14" w:rsidRPr="000E7D14" w:rsidP="000E7D14">
            <w:pPr>
              <w:jc w:val="center"/>
              <w:rPr>
                <w:sz w:val="24"/>
                <w:szCs w:val="24"/>
              </w:rPr>
            </w:pPr>
            <w:r w:rsidRPr="000E7D14">
              <w:rPr>
                <w:sz w:val="24"/>
                <w:szCs w:val="24"/>
              </w:rPr>
              <w:t>3</w:t>
            </w:r>
          </w:p>
        </w:tc>
        <w:tc>
          <w:tcPr>
            <w:tcW w:w="1853" w:type="dxa"/>
          </w:tcPr>
          <w:p w:rsidR="000E7D14" w:rsidRPr="000E7D14" w:rsidP="000E7D14">
            <w:pPr>
              <w:jc w:val="center"/>
              <w:rPr>
                <w:sz w:val="24"/>
                <w:szCs w:val="24"/>
              </w:rPr>
            </w:pPr>
            <w:r w:rsidRPr="000E7D14">
              <w:rPr>
                <w:sz w:val="24"/>
                <w:szCs w:val="24"/>
              </w:rPr>
              <w:t>0.27</w:t>
            </w:r>
          </w:p>
        </w:tc>
      </w:tr>
      <w:tr w:rsidTr="00AC0AE4">
        <w:tblPrEx>
          <w:tblW w:w="8114" w:type="dxa"/>
          <w:jc w:val="center"/>
          <w:tblLook w:val="04A0"/>
        </w:tblPrEx>
        <w:trPr>
          <w:trHeight w:val="340"/>
          <w:jc w:val="center"/>
        </w:trPr>
        <w:tc>
          <w:tcPr>
            <w:tcW w:w="1015" w:type="dxa"/>
            <w:vAlign w:val="center"/>
          </w:tcPr>
          <w:p w:rsidR="000E7D14" w:rsidP="000E7D14">
            <w:pPr>
              <w:numPr>
                <w:ilvl w:val="0"/>
                <w:numId w:val="10"/>
              </w:numPr>
              <w:adjustRightInd w:val="0"/>
              <w:snapToGrid w:val="0"/>
              <w:jc w:val="center"/>
              <w:rPr>
                <w:rFonts w:ascii="Times New Roman Regular" w:eastAsia="宋体" w:hAnsi="Times New Roman Regular" w:cs="Times New Roman Regular"/>
                <w:color w:val="000000"/>
                <w:sz w:val="24"/>
                <w:szCs w:val="24"/>
              </w:rPr>
            </w:pPr>
          </w:p>
        </w:tc>
        <w:tc>
          <w:tcPr>
            <w:tcW w:w="3142" w:type="dxa"/>
            <w:vAlign w:val="center"/>
          </w:tcPr>
          <w:p w:rsidR="000E7D14" w:rsidP="000E7D14">
            <w:pPr>
              <w:adjustRightInd w:val="0"/>
              <w:snapToGrid w:val="0"/>
              <w:jc w:val="center"/>
              <w:rPr>
                <w:rFonts w:ascii="Times New Roman Regular" w:eastAsia="宋体" w:hAnsi="Times New Roman Regular" w:cs="Times New Roman Regular"/>
                <w:color w:val="000000"/>
                <w:sz w:val="24"/>
                <w:szCs w:val="24"/>
              </w:rPr>
            </w:pPr>
            <w:r>
              <w:rPr>
                <w:rFonts w:ascii="Times New Roman Regular" w:eastAsia="宋体" w:hAnsi="Times New Roman Regular" w:cs="Times New Roman Regular"/>
                <w:color w:val="000000"/>
                <w:sz w:val="24"/>
                <w:szCs w:val="24"/>
              </w:rPr>
              <w:t>生态文明建设</w:t>
            </w:r>
            <w:r>
              <w:rPr>
                <w:rFonts w:ascii="Times New Roman Regular" w:eastAsia="宋体" w:hAnsi="Times New Roman Regular" w:cs="Times New Roman Regular"/>
                <w:color w:val="000000"/>
                <w:sz w:val="24"/>
                <w:szCs w:val="24"/>
              </w:rPr>
              <w:t xml:space="preserve"> </w:t>
            </w:r>
          </w:p>
        </w:tc>
        <w:tc>
          <w:tcPr>
            <w:tcW w:w="2104" w:type="dxa"/>
          </w:tcPr>
          <w:p w:rsidR="000E7D14" w:rsidRPr="000E7D14" w:rsidP="000E7D14">
            <w:pPr>
              <w:jc w:val="center"/>
              <w:rPr>
                <w:sz w:val="24"/>
                <w:szCs w:val="24"/>
              </w:rPr>
            </w:pPr>
            <w:r w:rsidRPr="000E7D14">
              <w:rPr>
                <w:sz w:val="24"/>
                <w:szCs w:val="24"/>
              </w:rPr>
              <w:t>2</w:t>
            </w:r>
          </w:p>
        </w:tc>
        <w:tc>
          <w:tcPr>
            <w:tcW w:w="1853" w:type="dxa"/>
          </w:tcPr>
          <w:p w:rsidR="000E7D14" w:rsidRPr="000E7D14" w:rsidP="000E7D14">
            <w:pPr>
              <w:jc w:val="center"/>
              <w:rPr>
                <w:sz w:val="24"/>
                <w:szCs w:val="24"/>
              </w:rPr>
            </w:pPr>
            <w:r w:rsidRPr="000E7D14">
              <w:rPr>
                <w:sz w:val="24"/>
                <w:szCs w:val="24"/>
              </w:rPr>
              <w:t>0.1</w:t>
            </w:r>
          </w:p>
        </w:tc>
      </w:tr>
      <w:tr w:rsidTr="00AC0AE4">
        <w:tblPrEx>
          <w:tblW w:w="8114" w:type="dxa"/>
          <w:jc w:val="center"/>
          <w:tblLook w:val="04A0"/>
        </w:tblPrEx>
        <w:trPr>
          <w:trHeight w:val="340"/>
          <w:jc w:val="center"/>
        </w:trPr>
        <w:tc>
          <w:tcPr>
            <w:tcW w:w="1015" w:type="dxa"/>
            <w:vAlign w:val="center"/>
          </w:tcPr>
          <w:p w:rsidR="000E7D14" w:rsidP="000E7D14">
            <w:pPr>
              <w:adjustRightInd w:val="0"/>
              <w:snapToGrid w:val="0"/>
              <w:jc w:val="center"/>
              <w:rPr>
                <w:rFonts w:ascii="Times New Roman Regular" w:eastAsia="宋体" w:hAnsi="Times New Roman Regular" w:cs="Times New Roman Regular"/>
                <w:b/>
                <w:color w:val="000000"/>
                <w:sz w:val="24"/>
                <w:szCs w:val="24"/>
              </w:rPr>
            </w:pPr>
          </w:p>
        </w:tc>
        <w:tc>
          <w:tcPr>
            <w:tcW w:w="3142" w:type="dxa"/>
            <w:vAlign w:val="center"/>
          </w:tcPr>
          <w:p w:rsidR="000E7D14" w:rsidP="000E7D14">
            <w:pPr>
              <w:adjustRightInd w:val="0"/>
              <w:snapToGrid w:val="0"/>
              <w:jc w:val="center"/>
              <w:rPr>
                <w:rFonts w:ascii="Times New Roman Regular" w:eastAsia="宋体" w:hAnsi="Times New Roman Regular" w:cs="Times New Roman Regular"/>
                <w:b/>
                <w:color w:val="000000"/>
                <w:sz w:val="24"/>
                <w:szCs w:val="24"/>
              </w:rPr>
            </w:pPr>
            <w:r>
              <w:rPr>
                <w:rFonts w:ascii="Times New Roman Regular" w:eastAsia="宋体" w:hAnsi="Times New Roman Regular" w:cs="Times New Roman Regular"/>
                <w:b/>
                <w:color w:val="000000"/>
                <w:sz w:val="24"/>
                <w:szCs w:val="24"/>
              </w:rPr>
              <w:t>合</w:t>
            </w:r>
            <w:r>
              <w:rPr>
                <w:rFonts w:ascii="Times New Roman Regular" w:eastAsia="宋体" w:hAnsi="Times New Roman Regular" w:cs="Times New Roman Regular"/>
                <w:b/>
                <w:color w:val="000000"/>
                <w:sz w:val="24"/>
                <w:szCs w:val="24"/>
              </w:rPr>
              <w:t xml:space="preserve">  </w:t>
            </w:r>
            <w:r>
              <w:rPr>
                <w:rFonts w:ascii="Times New Roman Regular" w:eastAsia="宋体" w:hAnsi="Times New Roman Regular" w:cs="Times New Roman Regular"/>
                <w:b/>
                <w:color w:val="000000"/>
                <w:sz w:val="24"/>
                <w:szCs w:val="24"/>
              </w:rPr>
              <w:t>计</w:t>
            </w:r>
          </w:p>
        </w:tc>
        <w:tc>
          <w:tcPr>
            <w:tcW w:w="2104" w:type="dxa"/>
          </w:tcPr>
          <w:p w:rsidR="000E7D14" w:rsidRPr="000E7D14" w:rsidP="000E7D14">
            <w:pPr>
              <w:jc w:val="center"/>
              <w:rPr>
                <w:b/>
                <w:sz w:val="24"/>
                <w:szCs w:val="24"/>
              </w:rPr>
            </w:pPr>
            <w:r w:rsidRPr="000E7D14">
              <w:rPr>
                <w:b/>
                <w:sz w:val="24"/>
                <w:szCs w:val="24"/>
              </w:rPr>
              <w:t>32</w:t>
            </w:r>
          </w:p>
        </w:tc>
        <w:tc>
          <w:tcPr>
            <w:tcW w:w="1853" w:type="dxa"/>
          </w:tcPr>
          <w:p w:rsidR="000E7D14" w:rsidRPr="000E7D14" w:rsidP="000E7D14">
            <w:pPr>
              <w:jc w:val="center"/>
              <w:rPr>
                <w:b/>
                <w:sz w:val="24"/>
                <w:szCs w:val="24"/>
              </w:rPr>
            </w:pPr>
            <w:r w:rsidRPr="000E7D14">
              <w:rPr>
                <w:b/>
                <w:sz w:val="24"/>
                <w:szCs w:val="24"/>
              </w:rPr>
              <w:t>36.10</w:t>
            </w:r>
          </w:p>
        </w:tc>
      </w:tr>
    </w:tbl>
    <w:p w:rsidR="00B373FD">
      <w:pPr>
        <w:adjustRightInd w:val="0"/>
        <w:snapToGrid w:val="0"/>
        <w:ind w:firstLine="640" w:firstLineChars="200"/>
        <w:rPr>
          <w:rFonts w:ascii="Times New Roman Regular" w:hAnsi="Times New Roman Regular" w:cs="Times New Roman Regular"/>
        </w:rPr>
      </w:pPr>
    </w:p>
    <w:p w:rsidR="00B373FD">
      <w:pPr>
        <w:adjustRightInd w:val="0"/>
        <w:snapToGrid w:val="0"/>
        <w:ind w:firstLine="640" w:firstLineChars="200"/>
        <w:rPr>
          <w:rFonts w:ascii="Times New Roman Regular" w:hAnsi="Times New Roman Regular" w:cs="Times New Roman Regular"/>
        </w:rPr>
        <w:sectPr>
          <w:headerReference w:type="even" r:id="rId48"/>
          <w:headerReference w:type="default" r:id="rId49"/>
          <w:headerReference w:type="first" r:id="rId50"/>
          <w:pgSz w:w="11906" w:h="16838"/>
          <w:pgMar w:top="1440" w:right="1800" w:bottom="1440" w:left="1800" w:header="851" w:footer="992" w:gutter="0"/>
          <w:cols w:space="720"/>
          <w:docGrid w:type="lines" w:linePitch="312"/>
        </w:sectPr>
      </w:pPr>
    </w:p>
    <w:p w:rsidR="00B373FD">
      <w:pPr>
        <w:pStyle w:val="Heading1"/>
        <w:numPr>
          <w:ilvl w:val="0"/>
          <w:numId w:val="4"/>
        </w:numPr>
        <w:spacing w:before="217" w:after="217"/>
        <w:rPr>
          <w:rFonts w:ascii="Times New Roman Regular" w:hAnsi="Times New Roman Regular" w:cs="Times New Roman Regular"/>
        </w:rPr>
      </w:pPr>
      <w:bookmarkStart w:id="65" w:name="_Toc77862716"/>
      <w:r>
        <w:rPr>
          <w:rFonts w:ascii="Times New Roman Regular" w:hAnsi="Times New Roman Regular" w:cs="Times New Roman Regular"/>
        </w:rPr>
        <w:t>保障措施</w:t>
      </w:r>
      <w:bookmarkEnd w:id="65"/>
    </w:p>
    <w:p w:rsidR="00B373FD">
      <w:pPr>
        <w:pStyle w:val="Heading2"/>
        <w:numPr>
          <w:ilvl w:val="1"/>
          <w:numId w:val="4"/>
        </w:numPr>
        <w:spacing w:before="217" w:after="217"/>
        <w:rPr>
          <w:rFonts w:ascii="Times New Roman Regular" w:hAnsi="Times New Roman Regular" w:cs="Times New Roman Regular"/>
        </w:rPr>
      </w:pPr>
      <w:bookmarkStart w:id="66" w:name="_Toc77862717"/>
      <w:r>
        <w:rPr>
          <w:rFonts w:ascii="Times New Roman Regular" w:hAnsi="Times New Roman Regular" w:cs="Times New Roman Regular"/>
        </w:rPr>
        <w:t>加强组织领导</w:t>
      </w:r>
      <w:bookmarkEnd w:id="66"/>
    </w:p>
    <w:p w:rsidR="00B373FD">
      <w:pPr>
        <w:adjustRightInd w:val="0"/>
        <w:snapToGrid w:val="0"/>
        <w:ind w:firstLine="640" w:firstLineChars="200"/>
        <w:rPr>
          <w:rFonts w:ascii="Times New Roman Regular" w:hAnsi="Times New Roman Regular" w:cs="Times New Roman Regular"/>
        </w:rPr>
      </w:pPr>
      <w:r>
        <w:rPr>
          <w:rFonts w:ascii="Times New Roman Regular" w:hAnsi="Times New Roman Regular" w:cs="Times New Roman Regular"/>
          <w:bCs/>
          <w:szCs w:val="32"/>
        </w:rPr>
        <w:t>加强对生态环境保护工作的组织领导，实行生态环境保护政府目标责任制和行政首长负责制。认真贯彻落实中央和省、市关于生态文明建设的相关规定，进一步压紧压实环保</w:t>
      </w:r>
      <w:r>
        <w:rPr>
          <w:rFonts w:ascii="Times New Roman Regular" w:hAnsi="Times New Roman Regular" w:cs="Times New Roman Regular"/>
          <w:bCs/>
          <w:szCs w:val="32"/>
        </w:rPr>
        <w:t>“</w:t>
      </w:r>
      <w:r>
        <w:rPr>
          <w:rFonts w:ascii="Times New Roman Regular" w:hAnsi="Times New Roman Regular" w:cs="Times New Roman Regular"/>
          <w:bCs/>
          <w:szCs w:val="32"/>
        </w:rPr>
        <w:t>党政同责、一岗双责</w:t>
      </w:r>
      <w:r>
        <w:rPr>
          <w:rFonts w:ascii="Times New Roman Regular" w:hAnsi="Times New Roman Regular" w:cs="Times New Roman Regular"/>
          <w:bCs/>
          <w:szCs w:val="32"/>
        </w:rPr>
        <w:t>”</w:t>
      </w:r>
      <w:r>
        <w:rPr>
          <w:rFonts w:ascii="Times New Roman Regular" w:hAnsi="Times New Roman Regular" w:cs="Times New Roman Regular"/>
          <w:bCs/>
          <w:szCs w:val="32"/>
        </w:rPr>
        <w:t>，切实将生态环境保护纳入党委、政府齐抓共管的范畴，各级党政主要领导作为第一责任人，要始终把守护好一方绿水青山作为最基本的职责、最重要的政绩，切实履行好总指挥、总协调、总调度、总督查职责，既要挂帅更要出征，做到对重大环境问题亲自过问、亲自协调、亲自推进，推动形成党政统一组织领导、政府分管领导具体实施、部门各司其职、社会广泛参与的工作格局，努力形成生态环境保护的合力。</w:t>
      </w:r>
    </w:p>
    <w:p w:rsidR="00B373FD">
      <w:pPr>
        <w:pStyle w:val="Heading2"/>
        <w:numPr>
          <w:ilvl w:val="1"/>
          <w:numId w:val="4"/>
        </w:numPr>
        <w:spacing w:before="217" w:after="217"/>
        <w:rPr>
          <w:rFonts w:ascii="Times New Roman Regular" w:hAnsi="Times New Roman Regular" w:cs="Times New Roman Regular"/>
        </w:rPr>
      </w:pPr>
      <w:bookmarkStart w:id="67" w:name="_Toc77862718"/>
      <w:r>
        <w:rPr>
          <w:rFonts w:ascii="Times New Roman Regular" w:hAnsi="Times New Roman Regular" w:cs="Times New Roman Regular"/>
        </w:rPr>
        <w:t>加大资金投入</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67"/>
    </w:p>
    <w:p w:rsidR="00B373FD">
      <w:pPr>
        <w:adjustRightInd w:val="0"/>
        <w:snapToGrid w:val="0"/>
        <w:ind w:firstLine="640" w:firstLineChars="200"/>
        <w:rPr>
          <w:rFonts w:ascii="Times New Roman Regular" w:hAnsi="Times New Roman Regular" w:cs="Times New Roman Regular"/>
        </w:rPr>
      </w:pPr>
      <w:r>
        <w:rPr>
          <w:rFonts w:ascii="Times New Roman Regular" w:hAnsi="Times New Roman Regular" w:cs="Times New Roman Regular"/>
          <w:bCs/>
          <w:szCs w:val="32"/>
        </w:rPr>
        <w:t>持续加大政府财政投入力度，设立绿色发展专项资金，将生态环境保护投入作为公共财政支出的重点，同时加大各类环保资金的对上争取，大力完善城镇污水、垃圾处理等环保设施的建设运营，集中解决重点领域、重点区域突出的环境问题。继续完善政府引导、市场运作、社会参与的多元化投融资机制，通过优惠政策扶持等手段，充分发挥市场机制在生态资源配置中的作用，引导更多的社会资本主动参与生态环境保护建设。大力发展绿色金融，积极创新绿色信贷、</w:t>
      </w:r>
      <w:r>
        <w:rPr>
          <w:rFonts w:ascii="Times New Roman Regular" w:hAnsi="Times New Roman Regular" w:cs="Times New Roman Regular"/>
          <w:bCs/>
          <w:szCs w:val="32"/>
        </w:rPr>
        <w:t>绿色债券和绿色保险等金融政策和产品，鼓励、引导金融机构加大对于生态环境保护建设的金融支持力度。</w:t>
      </w:r>
    </w:p>
    <w:p w:rsidR="00B373FD">
      <w:pPr>
        <w:pStyle w:val="Heading2"/>
        <w:numPr>
          <w:ilvl w:val="1"/>
          <w:numId w:val="4"/>
        </w:numPr>
        <w:spacing w:before="217" w:after="217"/>
        <w:rPr>
          <w:rFonts w:ascii="Times New Roman Regular" w:hAnsi="Times New Roman Regular" w:cs="Times New Roman Regular"/>
        </w:rPr>
      </w:pPr>
      <w:bookmarkStart w:id="68" w:name="_Toc77862719"/>
      <w:r>
        <w:rPr>
          <w:rFonts w:ascii="Times New Roman Regular" w:hAnsi="Times New Roman Regular" w:cs="Times New Roman Regular"/>
        </w:rPr>
        <w:t>严格目标考核</w:t>
      </w:r>
      <w:bookmarkEnd w:id="68"/>
    </w:p>
    <w:p w:rsidR="00B373FD">
      <w:pPr>
        <w:adjustRightInd w:val="0"/>
        <w:snapToGrid w:val="0"/>
        <w:ind w:firstLine="640" w:firstLineChars="200"/>
        <w:rPr>
          <w:rFonts w:ascii="Times New Roman Regular" w:hAnsi="Times New Roman Regular" w:cs="Times New Roman Regular"/>
        </w:rPr>
      </w:pPr>
      <w:r>
        <w:rPr>
          <w:rFonts w:ascii="Times New Roman Regular" w:hAnsi="Times New Roman Regular" w:cs="Times New Roman Regular"/>
          <w:bCs/>
          <w:szCs w:val="32"/>
        </w:rPr>
        <w:t>建立生态环境保护评估考核体系，每年对规划实施进展情况开展督促检查、调度分析和年度评估，并实施规划中期评估和终期考核，相关考核评估结果纳入政府及有关部门年度绩效考核内容，并作为党政领导班子和主要领导干部年度考核、选拔任用的重要依据，对主要任务完成较好、生态环境保护成绩突出的单位和个人予以表彰，对工作落实不到位、目标要求执行不力的单位进行通报并追究相关人员责任，确保顺利完成规划各项目标任务。</w:t>
      </w:r>
    </w:p>
    <w:p w:rsidR="00B373FD">
      <w:pPr>
        <w:pStyle w:val="Heading2"/>
        <w:numPr>
          <w:ilvl w:val="1"/>
          <w:numId w:val="4"/>
        </w:numPr>
        <w:spacing w:before="217" w:after="217"/>
        <w:rPr>
          <w:rFonts w:ascii="Times New Roman Regular" w:hAnsi="Times New Roman Regular" w:cs="Times New Roman Regular"/>
        </w:rPr>
      </w:pPr>
      <w:bookmarkStart w:id="69" w:name="_Toc77862720"/>
      <w:r>
        <w:rPr>
          <w:rFonts w:ascii="Times New Roman Regular" w:hAnsi="Times New Roman Regular" w:cs="Times New Roman Regular"/>
        </w:rPr>
        <w:t>强化科技创新</w:t>
      </w:r>
      <w:bookmarkEnd w:id="69"/>
    </w:p>
    <w:p w:rsidR="00B373FD">
      <w:pPr>
        <w:adjustRightInd w:val="0"/>
        <w:snapToGrid w:val="0"/>
        <w:ind w:firstLine="640" w:firstLineChars="200"/>
        <w:rPr>
          <w:rFonts w:ascii="Times New Roman Regular" w:hAnsi="Times New Roman Regular" w:cs="Times New Roman Regular"/>
          <w:bCs/>
          <w:szCs w:val="32"/>
        </w:rPr>
      </w:pPr>
      <w:r>
        <w:rPr>
          <w:rFonts w:ascii="Times New Roman Regular" w:hAnsi="Times New Roman Regular" w:cs="Times New Roman Regular"/>
          <w:bCs/>
          <w:szCs w:val="32"/>
        </w:rPr>
        <w:t>制订全方位、多层次、多角度和前瞻性的技术保障体系，建立技术专家咨询和技术支撑系统。加强与地方院校、科研院所合作，建立由国内生态治理领域顶尖专家领衔的专家库，为生态环境保护工作提供科学有效的技术保障。加强生态环境科技创新、污染防治等关键技术的研发攻关，支持科技成果产业化。完善科技推广信息服务体系和技术交流网络，推广先进实用技术，为项目顺利实施提供技术保障。加强项目实施过程及后期运营过程中管理人员和技术人员的技术培训，提高和加强项目管理人员的管理水平及技术人员的专业技能，为后续治理提供有力的技术保障。</w:t>
      </w:r>
    </w:p>
    <w:p w:rsidR="00B373FD">
      <w:pPr>
        <w:adjustRightInd w:val="0"/>
        <w:snapToGrid w:val="0"/>
        <w:ind w:firstLine="640" w:firstLineChars="200"/>
        <w:rPr>
          <w:rFonts w:ascii="Times New Roman Regular" w:hAnsi="Times New Roman Regular" w:cs="Times New Roman Regular"/>
        </w:rPr>
      </w:pPr>
      <w:r>
        <w:rPr>
          <w:rFonts w:ascii="Times New Roman Regular" w:hAnsi="Times New Roman Regular" w:cs="Times New Roman Regular"/>
          <w:bCs/>
          <w:szCs w:val="32"/>
        </w:rPr>
        <w:t>完善人才引进、培育体系，加快对于当前急需的各类科</w:t>
      </w:r>
      <w:r>
        <w:rPr>
          <w:rFonts w:ascii="Times New Roman Regular" w:hAnsi="Times New Roman Regular" w:cs="Times New Roman Regular"/>
          <w:bCs/>
          <w:szCs w:val="32"/>
        </w:rPr>
        <w:t>研和技术骨干等高端人才的发现和引进，建立分型人才培养体系，着力培养在污染控制、生态保护、环境风险防范领域的高新技术、关键技术、共性技术人才。</w:t>
      </w:r>
    </w:p>
    <w:p w:rsidR="00B373FD">
      <w:pPr>
        <w:adjustRightInd w:val="0"/>
        <w:snapToGrid w:val="0"/>
        <w:rPr>
          <w:rFonts w:ascii="Times New Roman Regular" w:hAnsi="Times New Roman Regular" w:cs="Times New Roman Regular"/>
        </w:rPr>
        <w:sectPr>
          <w:headerReference w:type="even" r:id="rId51"/>
          <w:headerReference w:type="default" r:id="rId52"/>
          <w:footerReference w:type="default" r:id="rId53"/>
          <w:headerReference w:type="first" r:id="rId54"/>
          <w:pgSz w:w="11906" w:h="16838"/>
          <w:pgMar w:top="1440" w:right="1800" w:bottom="1440" w:left="1800" w:header="851" w:footer="992" w:gutter="0"/>
          <w:cols w:space="720"/>
          <w:docGrid w:type="lines" w:linePitch="435"/>
        </w:sectPr>
      </w:pPr>
    </w:p>
    <w:p w:rsidR="00B373FD">
      <w:pPr>
        <w:pStyle w:val="Heading1"/>
        <w:spacing w:before="156" w:after="156"/>
      </w:pPr>
      <w:bookmarkStart w:id="70" w:name="_Toc58231351"/>
      <w:bookmarkStart w:id="71" w:name="_Toc57708847"/>
      <w:bookmarkStart w:id="72" w:name="_Toc77862721"/>
      <w:r>
        <w:t>附表</w:t>
      </w:r>
      <w:r>
        <w:t>1</w:t>
      </w:r>
      <w:bookmarkEnd w:id="70"/>
      <w:bookmarkEnd w:id="71"/>
      <w:bookmarkEnd w:id="72"/>
    </w:p>
    <w:p w:rsidR="00B373FD">
      <w:pPr>
        <w:adjustRightInd w:val="0"/>
        <w:snapToGrid w:val="0"/>
        <w:spacing w:after="156" w:afterLines="50"/>
        <w:ind w:firstLine="640" w:firstLineChars="200"/>
        <w:jc w:val="center"/>
        <w:outlineLvl w:val="0"/>
        <w:rPr>
          <w:rFonts w:eastAsia="黑体"/>
          <w:sz w:val="28"/>
          <w:szCs w:val="28"/>
        </w:rPr>
      </w:pPr>
      <w:bookmarkStart w:id="73" w:name="_Toc77862722"/>
      <w:r>
        <w:rPr>
          <w:rFonts w:ascii="黑体" w:eastAsia="黑体" w:hAnsi="黑体" w:hint="eastAsia"/>
          <w:sz w:val="28"/>
          <w:szCs w:val="28"/>
        </w:rPr>
        <w:t>太仓市“十三五”生态环境保护规划重点工程完成情况统计表</w:t>
      </w:r>
      <w:bookmarkEnd w:id="7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2"/>
        <w:gridCol w:w="3455"/>
        <w:gridCol w:w="1785"/>
        <w:gridCol w:w="1504"/>
        <w:gridCol w:w="1537"/>
        <w:gridCol w:w="1253"/>
        <w:gridCol w:w="3802"/>
      </w:tblGrid>
      <w:tr w:rsidTr="00967DA2">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
          <w:tblHeader/>
          <w:jc w:val="center"/>
        </w:trPr>
        <w:tc>
          <w:tcPr>
            <w:tcW w:w="219" w:type="pct"/>
            <w:vAlign w:val="center"/>
          </w:tcPr>
          <w:p w:rsidR="00B373FD" w:rsidRPr="00C82635">
            <w:pPr>
              <w:widowControl/>
              <w:spacing w:line="240" w:lineRule="auto"/>
              <w:jc w:val="center"/>
              <w:rPr>
                <w:rFonts w:ascii="Times New Roman Regular" w:eastAsia="宋体" w:hAnsi="Times New Roman Regular" w:cs="Times New Roman Regular"/>
                <w:bCs/>
                <w:sz w:val="24"/>
              </w:rPr>
            </w:pPr>
            <w:r>
              <w:rPr>
                <w:rFonts w:ascii="Times New Roman Regular" w:eastAsia="宋体" w:hAnsi="Times New Roman Regular" w:cs="Times New Roman Regular" w:hint="eastAsia"/>
                <w:bCs/>
                <w:sz w:val="24"/>
                <w:szCs w:val="24"/>
              </w:rPr>
              <w:t>序号</w:t>
            </w:r>
          </w:p>
        </w:tc>
        <w:tc>
          <w:tcPr>
            <w:tcW w:w="1238" w:type="pct"/>
            <w:vAlign w:val="center"/>
          </w:tcPr>
          <w:p w:rsidR="00B373FD" w:rsidRPr="00C82635">
            <w:pPr>
              <w:widowControl/>
              <w:spacing w:line="240" w:lineRule="auto"/>
              <w:jc w:val="center"/>
              <w:rPr>
                <w:rFonts w:ascii="Times New Roman Regular" w:eastAsia="宋体" w:hAnsi="Times New Roman Regular" w:cs="Times New Roman Regular"/>
                <w:bCs/>
                <w:sz w:val="24"/>
              </w:rPr>
            </w:pPr>
            <w:r>
              <w:rPr>
                <w:rFonts w:ascii="Times New Roman Regular" w:eastAsia="宋体" w:hAnsi="Times New Roman Regular" w:cs="Times New Roman Regular" w:hint="eastAsia"/>
                <w:bCs/>
                <w:sz w:val="24"/>
                <w:szCs w:val="24"/>
              </w:rPr>
              <w:t>项目名称</w:t>
            </w:r>
          </w:p>
        </w:tc>
        <w:tc>
          <w:tcPr>
            <w:tcW w:w="640" w:type="pct"/>
            <w:vAlign w:val="center"/>
          </w:tcPr>
          <w:p w:rsidR="00B373FD" w:rsidRPr="00C82635">
            <w:pPr>
              <w:widowControl/>
              <w:spacing w:line="240" w:lineRule="auto"/>
              <w:jc w:val="center"/>
              <w:rPr>
                <w:rFonts w:ascii="Times New Roman Regular" w:eastAsia="宋体" w:hAnsi="Times New Roman Regular" w:cs="Times New Roman Regular"/>
                <w:bCs/>
                <w:sz w:val="24"/>
              </w:rPr>
            </w:pPr>
            <w:r>
              <w:rPr>
                <w:rFonts w:ascii="Times New Roman Regular" w:eastAsia="宋体" w:hAnsi="Times New Roman Regular" w:cs="Times New Roman Regular" w:hint="eastAsia"/>
                <w:bCs/>
                <w:sz w:val="24"/>
                <w:szCs w:val="24"/>
              </w:rPr>
              <w:t>责任单位</w:t>
            </w:r>
          </w:p>
        </w:tc>
        <w:tc>
          <w:tcPr>
            <w:tcW w:w="539" w:type="pct"/>
            <w:vAlign w:val="center"/>
          </w:tcPr>
          <w:p w:rsidR="00B373FD" w:rsidRPr="00C82635">
            <w:pPr>
              <w:widowControl/>
              <w:spacing w:line="240" w:lineRule="auto"/>
              <w:jc w:val="center"/>
              <w:rPr>
                <w:rFonts w:ascii="Times New Roman Regular" w:eastAsia="宋体" w:hAnsi="Times New Roman Regular" w:cs="Times New Roman Regular"/>
                <w:bCs/>
                <w:sz w:val="24"/>
              </w:rPr>
            </w:pPr>
            <w:r>
              <w:rPr>
                <w:rFonts w:ascii="Times New Roman Regular" w:eastAsia="宋体" w:hAnsi="Times New Roman Regular" w:cs="Times New Roman Regular" w:hint="eastAsia"/>
                <w:bCs/>
                <w:sz w:val="24"/>
                <w:szCs w:val="24"/>
              </w:rPr>
              <w:t>“十三五”计划投资（万元）</w:t>
            </w:r>
          </w:p>
        </w:tc>
        <w:tc>
          <w:tcPr>
            <w:tcW w:w="551" w:type="pct"/>
            <w:vAlign w:val="center"/>
          </w:tcPr>
          <w:p w:rsidR="00B373FD" w:rsidRPr="00C82635">
            <w:pPr>
              <w:widowControl/>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完成情况</w:t>
            </w:r>
          </w:p>
          <w:p w:rsidR="00B373FD" w:rsidRPr="00C82635">
            <w:pPr>
              <w:widowControl/>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（已完成、开展中、未开展）</w:t>
            </w:r>
          </w:p>
        </w:tc>
        <w:tc>
          <w:tcPr>
            <w:tcW w:w="449" w:type="pct"/>
            <w:vAlign w:val="center"/>
          </w:tcPr>
          <w:p w:rsidR="00B373FD" w:rsidRPr="00C82635">
            <w:pPr>
              <w:widowControl/>
              <w:spacing w:line="240" w:lineRule="auto"/>
              <w:jc w:val="center"/>
              <w:rPr>
                <w:rFonts w:ascii="Times New Roman Regular" w:eastAsia="宋体" w:hAnsi="Times New Roman Regular" w:cs="Times New Roman Regular"/>
                <w:bCs/>
                <w:sz w:val="24"/>
              </w:rPr>
            </w:pPr>
            <w:r>
              <w:rPr>
                <w:rFonts w:ascii="Times New Roman Regular" w:eastAsia="宋体" w:hAnsi="Times New Roman Regular" w:cs="Times New Roman Regular" w:hint="eastAsia"/>
                <w:sz w:val="24"/>
                <w:szCs w:val="24"/>
              </w:rPr>
              <w:t>完成投资额（万元）</w:t>
            </w:r>
          </w:p>
        </w:tc>
        <w:tc>
          <w:tcPr>
            <w:tcW w:w="1363" w:type="pct"/>
            <w:vAlign w:val="center"/>
          </w:tcPr>
          <w:p w:rsidR="00B373FD" w:rsidRPr="00C82635">
            <w:pPr>
              <w:widowControl/>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备注</w:t>
            </w:r>
          </w:p>
        </w:tc>
      </w:tr>
      <w:tr w:rsidTr="00967DA2">
        <w:tblPrEx>
          <w:tblW w:w="5000" w:type="pct"/>
          <w:jc w:val="center"/>
          <w:tblLook w:val="04A0"/>
        </w:tblPrEx>
        <w:trPr>
          <w:trHeight w:val="20"/>
          <w:jc w:val="center"/>
        </w:trPr>
        <w:tc>
          <w:tcPr>
            <w:tcW w:w="219" w:type="pct"/>
            <w:vAlign w:val="center"/>
          </w:tcPr>
          <w:p w:rsidR="00B373FD">
            <w:pPr>
              <w:pStyle w:val="Style52"/>
              <w:numPr>
                <w:ilvl w:val="0"/>
                <w:numId w:val="11"/>
              </w:numPr>
              <w:spacing w:line="240" w:lineRule="auto"/>
              <w:ind w:firstLineChars="0"/>
              <w:jc w:val="right"/>
              <w:rPr>
                <w:rFonts w:ascii="Times New Roman Regular" w:hAnsi="Times New Roman Regular" w:cs="Times New Roman Regular"/>
                <w:sz w:val="24"/>
                <w:szCs w:val="24"/>
              </w:rPr>
            </w:pPr>
          </w:p>
        </w:tc>
        <w:tc>
          <w:tcPr>
            <w:tcW w:w="1238" w:type="pct"/>
            <w:vAlign w:val="center"/>
          </w:tcPr>
          <w:p w:rsidR="00B373FD" w:rsidRPr="00C82635">
            <w:pPr>
              <w:spacing w:line="240" w:lineRule="auto"/>
              <w:ind w:left="-83" w:right="-131" w:leftChars="-26" w:rightChars="-41"/>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太仓市第二水厂改移工程</w:t>
            </w:r>
          </w:p>
        </w:tc>
        <w:tc>
          <w:tcPr>
            <w:tcW w:w="640" w:type="pct"/>
            <w:vAlign w:val="center"/>
          </w:tcPr>
          <w:p w:rsidR="00B373FD" w:rsidRPr="00C82635" w:rsidP="00C80692">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太仓市</w:t>
            </w:r>
            <w:r w:rsidR="00C82635">
              <w:rPr>
                <w:rFonts w:ascii="Times New Roman Regular" w:eastAsia="宋体" w:hAnsi="Times New Roman Regular" w:cs="Times New Roman Regular" w:hint="eastAsia"/>
                <w:sz w:val="24"/>
                <w:szCs w:val="24"/>
              </w:rPr>
              <w:t>水务局、水务集团</w:t>
            </w:r>
          </w:p>
        </w:tc>
        <w:tc>
          <w:tcPr>
            <w:tcW w:w="539"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sz w:val="24"/>
                <w:szCs w:val="24"/>
              </w:rPr>
              <w:t>71700</w:t>
            </w:r>
          </w:p>
        </w:tc>
        <w:tc>
          <w:tcPr>
            <w:tcW w:w="551"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已完成</w:t>
            </w:r>
          </w:p>
        </w:tc>
        <w:tc>
          <w:tcPr>
            <w:tcW w:w="449"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sz w:val="24"/>
                <w:szCs w:val="24"/>
              </w:rPr>
              <w:t>71000</w:t>
            </w:r>
          </w:p>
        </w:tc>
        <w:tc>
          <w:tcPr>
            <w:tcW w:w="1363" w:type="pct"/>
            <w:vAlign w:val="center"/>
          </w:tcPr>
          <w:p w:rsidR="00B373FD" w:rsidRPr="00B21412">
            <w:pPr>
              <w:spacing w:line="240" w:lineRule="auto"/>
              <w:jc w:val="center"/>
              <w:rPr>
                <w:rFonts w:ascii="Times New Roman Regular" w:eastAsia="宋体" w:hAnsi="Times New Roman Regular" w:cs="Times New Roman Regular"/>
                <w:sz w:val="24"/>
              </w:rPr>
            </w:pPr>
          </w:p>
        </w:tc>
      </w:tr>
      <w:tr w:rsidTr="00967DA2">
        <w:tblPrEx>
          <w:tblW w:w="5000" w:type="pct"/>
          <w:jc w:val="center"/>
          <w:tblLook w:val="04A0"/>
        </w:tblPrEx>
        <w:trPr>
          <w:trHeight w:val="20"/>
          <w:jc w:val="center"/>
        </w:trPr>
        <w:tc>
          <w:tcPr>
            <w:tcW w:w="219" w:type="pct"/>
            <w:vAlign w:val="center"/>
          </w:tcPr>
          <w:p w:rsidR="00B373FD">
            <w:pPr>
              <w:pStyle w:val="Style52"/>
              <w:numPr>
                <w:ilvl w:val="0"/>
                <w:numId w:val="11"/>
              </w:numPr>
              <w:spacing w:line="240" w:lineRule="auto"/>
              <w:ind w:firstLineChars="0"/>
              <w:jc w:val="right"/>
              <w:rPr>
                <w:rFonts w:ascii="Times New Roman Regular" w:hAnsi="Times New Roman Regular" w:cs="Times New Roman Regular"/>
                <w:sz w:val="24"/>
                <w:szCs w:val="24"/>
              </w:rPr>
            </w:pPr>
          </w:p>
        </w:tc>
        <w:tc>
          <w:tcPr>
            <w:tcW w:w="1238" w:type="pct"/>
            <w:vAlign w:val="center"/>
          </w:tcPr>
          <w:p w:rsidR="00B373FD" w:rsidRPr="00C82635">
            <w:pPr>
              <w:spacing w:line="240" w:lineRule="auto"/>
              <w:ind w:left="-83" w:right="-131" w:leftChars="-26" w:rightChars="-41"/>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太仓市第二水厂深度处理工程</w:t>
            </w:r>
          </w:p>
        </w:tc>
        <w:tc>
          <w:tcPr>
            <w:tcW w:w="640"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水务集团</w:t>
            </w:r>
          </w:p>
        </w:tc>
        <w:tc>
          <w:tcPr>
            <w:tcW w:w="539"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sz w:val="24"/>
                <w:szCs w:val="24"/>
              </w:rPr>
              <w:t>20000</w:t>
            </w:r>
          </w:p>
        </w:tc>
        <w:tc>
          <w:tcPr>
            <w:tcW w:w="551"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已完成</w:t>
            </w:r>
          </w:p>
        </w:tc>
        <w:tc>
          <w:tcPr>
            <w:tcW w:w="449"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sz w:val="24"/>
                <w:szCs w:val="24"/>
              </w:rPr>
              <w:t>27822</w:t>
            </w:r>
          </w:p>
        </w:tc>
        <w:tc>
          <w:tcPr>
            <w:tcW w:w="1363" w:type="pct"/>
            <w:vAlign w:val="center"/>
          </w:tcPr>
          <w:p w:rsidR="00B373FD" w:rsidRPr="00B21412">
            <w:pPr>
              <w:spacing w:line="240" w:lineRule="auto"/>
              <w:jc w:val="center"/>
              <w:rPr>
                <w:rFonts w:ascii="Times New Roman Regular" w:eastAsia="宋体" w:hAnsi="Times New Roman Regular" w:cs="Times New Roman Regular"/>
                <w:sz w:val="24"/>
              </w:rPr>
            </w:pPr>
          </w:p>
        </w:tc>
      </w:tr>
      <w:tr w:rsidTr="00967DA2">
        <w:tblPrEx>
          <w:tblW w:w="5000" w:type="pct"/>
          <w:jc w:val="center"/>
          <w:tblLook w:val="04A0"/>
        </w:tblPrEx>
        <w:trPr>
          <w:trHeight w:val="20"/>
          <w:jc w:val="center"/>
        </w:trPr>
        <w:tc>
          <w:tcPr>
            <w:tcW w:w="219" w:type="pct"/>
            <w:vAlign w:val="center"/>
          </w:tcPr>
          <w:p w:rsidR="00B373FD">
            <w:pPr>
              <w:pStyle w:val="Style52"/>
              <w:numPr>
                <w:ilvl w:val="0"/>
                <w:numId w:val="11"/>
              </w:numPr>
              <w:spacing w:line="240" w:lineRule="auto"/>
              <w:ind w:firstLineChars="0"/>
              <w:jc w:val="right"/>
              <w:rPr>
                <w:rFonts w:ascii="Times New Roman Regular" w:hAnsi="Times New Roman Regular" w:cs="Times New Roman Regular"/>
                <w:sz w:val="24"/>
                <w:szCs w:val="24"/>
              </w:rPr>
            </w:pPr>
          </w:p>
        </w:tc>
        <w:tc>
          <w:tcPr>
            <w:tcW w:w="1238"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节水型社会建设</w:t>
            </w:r>
          </w:p>
        </w:tc>
        <w:tc>
          <w:tcPr>
            <w:tcW w:w="640"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太仓市</w:t>
            </w:r>
            <w:r w:rsidR="00C82635">
              <w:rPr>
                <w:rFonts w:ascii="Times New Roman Regular" w:eastAsia="宋体" w:hAnsi="Times New Roman Regular" w:cs="Times New Roman Regular" w:hint="eastAsia"/>
                <w:sz w:val="24"/>
                <w:szCs w:val="24"/>
              </w:rPr>
              <w:t>水务局</w:t>
            </w:r>
          </w:p>
        </w:tc>
        <w:tc>
          <w:tcPr>
            <w:tcW w:w="539"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sz w:val="24"/>
                <w:szCs w:val="24"/>
              </w:rPr>
              <w:t>5000</w:t>
            </w:r>
          </w:p>
        </w:tc>
        <w:tc>
          <w:tcPr>
            <w:tcW w:w="551"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已完成</w:t>
            </w:r>
          </w:p>
        </w:tc>
        <w:tc>
          <w:tcPr>
            <w:tcW w:w="449"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sz w:val="24"/>
                <w:szCs w:val="24"/>
              </w:rPr>
              <w:t>5000</w:t>
            </w:r>
          </w:p>
        </w:tc>
        <w:tc>
          <w:tcPr>
            <w:tcW w:w="1363" w:type="pct"/>
            <w:vAlign w:val="center"/>
          </w:tcPr>
          <w:p w:rsidR="00B373FD" w:rsidRPr="00B21412">
            <w:pPr>
              <w:spacing w:line="240" w:lineRule="auto"/>
              <w:jc w:val="center"/>
              <w:rPr>
                <w:rFonts w:ascii="Times New Roman Regular" w:eastAsia="宋体" w:hAnsi="Times New Roman Regular" w:cs="Times New Roman Regular"/>
                <w:sz w:val="24"/>
              </w:rPr>
            </w:pPr>
          </w:p>
        </w:tc>
      </w:tr>
      <w:tr w:rsidTr="00967DA2">
        <w:tblPrEx>
          <w:tblW w:w="5000" w:type="pct"/>
          <w:jc w:val="center"/>
          <w:tblLook w:val="04A0"/>
        </w:tblPrEx>
        <w:trPr>
          <w:trHeight w:val="20"/>
          <w:jc w:val="center"/>
        </w:trPr>
        <w:tc>
          <w:tcPr>
            <w:tcW w:w="219" w:type="pct"/>
            <w:vAlign w:val="center"/>
          </w:tcPr>
          <w:p w:rsidR="00B373FD">
            <w:pPr>
              <w:pStyle w:val="Style52"/>
              <w:numPr>
                <w:ilvl w:val="0"/>
                <w:numId w:val="11"/>
              </w:numPr>
              <w:spacing w:line="240" w:lineRule="auto"/>
              <w:ind w:firstLineChars="0"/>
              <w:jc w:val="right"/>
              <w:rPr>
                <w:rFonts w:ascii="Times New Roman Regular" w:hAnsi="Times New Roman Regular" w:cs="Times New Roman Regular"/>
                <w:sz w:val="24"/>
                <w:szCs w:val="24"/>
              </w:rPr>
            </w:pPr>
          </w:p>
        </w:tc>
        <w:tc>
          <w:tcPr>
            <w:tcW w:w="1238"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市级骨干河道整治工程</w:t>
            </w:r>
          </w:p>
        </w:tc>
        <w:tc>
          <w:tcPr>
            <w:tcW w:w="640"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太仓市</w:t>
            </w:r>
            <w:r w:rsidR="00C82635">
              <w:rPr>
                <w:rFonts w:ascii="Times New Roman Regular" w:eastAsia="宋体" w:hAnsi="Times New Roman Regular" w:cs="Times New Roman Regular" w:hint="eastAsia"/>
                <w:sz w:val="24"/>
                <w:szCs w:val="24"/>
              </w:rPr>
              <w:t>水务局</w:t>
            </w:r>
          </w:p>
        </w:tc>
        <w:tc>
          <w:tcPr>
            <w:tcW w:w="539"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sz w:val="24"/>
                <w:szCs w:val="24"/>
              </w:rPr>
              <w:t>81520</w:t>
            </w:r>
          </w:p>
        </w:tc>
        <w:tc>
          <w:tcPr>
            <w:tcW w:w="551"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开展中</w:t>
            </w:r>
          </w:p>
        </w:tc>
        <w:tc>
          <w:tcPr>
            <w:tcW w:w="449"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sz w:val="24"/>
                <w:szCs w:val="24"/>
              </w:rPr>
              <w:t>15128</w:t>
            </w:r>
          </w:p>
        </w:tc>
        <w:tc>
          <w:tcPr>
            <w:tcW w:w="1363"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北横沥河、十八港治理工程完成部分，其余都未开展</w:t>
            </w:r>
          </w:p>
        </w:tc>
      </w:tr>
      <w:tr w:rsidTr="00967DA2">
        <w:tblPrEx>
          <w:tblW w:w="5000" w:type="pct"/>
          <w:jc w:val="center"/>
          <w:tblLook w:val="04A0"/>
        </w:tblPrEx>
        <w:trPr>
          <w:trHeight w:val="20"/>
          <w:jc w:val="center"/>
        </w:trPr>
        <w:tc>
          <w:tcPr>
            <w:tcW w:w="219" w:type="pct"/>
            <w:vAlign w:val="center"/>
          </w:tcPr>
          <w:p w:rsidR="00B373FD">
            <w:pPr>
              <w:pStyle w:val="Style52"/>
              <w:numPr>
                <w:ilvl w:val="0"/>
                <w:numId w:val="11"/>
              </w:numPr>
              <w:spacing w:line="240" w:lineRule="auto"/>
              <w:ind w:firstLineChars="0"/>
              <w:jc w:val="right"/>
              <w:rPr>
                <w:rFonts w:ascii="Times New Roman Regular" w:hAnsi="Times New Roman Regular" w:cs="Times New Roman Regular"/>
                <w:sz w:val="24"/>
                <w:szCs w:val="24"/>
              </w:rPr>
            </w:pPr>
          </w:p>
        </w:tc>
        <w:tc>
          <w:tcPr>
            <w:tcW w:w="1238"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区域骨干河道整治工程</w:t>
            </w:r>
          </w:p>
        </w:tc>
        <w:tc>
          <w:tcPr>
            <w:tcW w:w="640"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太仓市</w:t>
            </w:r>
            <w:r w:rsidR="00C82635">
              <w:rPr>
                <w:rFonts w:ascii="Times New Roman Regular" w:eastAsia="宋体" w:hAnsi="Times New Roman Regular" w:cs="Times New Roman Regular" w:hint="eastAsia"/>
                <w:sz w:val="24"/>
                <w:szCs w:val="24"/>
              </w:rPr>
              <w:t>水务局</w:t>
            </w:r>
          </w:p>
        </w:tc>
        <w:tc>
          <w:tcPr>
            <w:tcW w:w="539"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sz w:val="24"/>
                <w:szCs w:val="24"/>
              </w:rPr>
              <w:t>13100</w:t>
            </w:r>
          </w:p>
        </w:tc>
        <w:tc>
          <w:tcPr>
            <w:tcW w:w="551"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开展中</w:t>
            </w:r>
          </w:p>
        </w:tc>
        <w:tc>
          <w:tcPr>
            <w:tcW w:w="449"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sz w:val="24"/>
                <w:szCs w:val="24"/>
              </w:rPr>
              <w:t>8450</w:t>
            </w:r>
          </w:p>
        </w:tc>
        <w:tc>
          <w:tcPr>
            <w:tcW w:w="1363"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完成，河整治工程，老七浦塘疏浚工程完成部分，杨林口门建筑物工程正在开展</w:t>
            </w:r>
          </w:p>
        </w:tc>
      </w:tr>
      <w:tr w:rsidTr="00967DA2">
        <w:tblPrEx>
          <w:tblW w:w="5000" w:type="pct"/>
          <w:jc w:val="center"/>
          <w:tblLook w:val="04A0"/>
        </w:tblPrEx>
        <w:trPr>
          <w:trHeight w:val="20"/>
          <w:jc w:val="center"/>
        </w:trPr>
        <w:tc>
          <w:tcPr>
            <w:tcW w:w="219" w:type="pct"/>
            <w:vAlign w:val="center"/>
          </w:tcPr>
          <w:p w:rsidR="00B373FD" w:rsidRPr="00993048">
            <w:pPr>
              <w:pStyle w:val="Style52"/>
              <w:numPr>
                <w:ilvl w:val="0"/>
                <w:numId w:val="11"/>
              </w:numPr>
              <w:spacing w:line="240" w:lineRule="auto"/>
              <w:ind w:firstLineChars="0"/>
              <w:jc w:val="right"/>
              <w:rPr>
                <w:rFonts w:ascii="Times New Roman Regular" w:hAnsi="Times New Roman Regular" w:cs="Times New Roman Regular"/>
                <w:sz w:val="24"/>
                <w:szCs w:val="24"/>
              </w:rPr>
            </w:pPr>
          </w:p>
        </w:tc>
        <w:tc>
          <w:tcPr>
            <w:tcW w:w="1238" w:type="pct"/>
            <w:vAlign w:val="center"/>
          </w:tcPr>
          <w:p w:rsidR="00B373FD" w:rsidRPr="00993048">
            <w:pPr>
              <w:spacing w:line="240" w:lineRule="auto"/>
              <w:jc w:val="center"/>
              <w:rPr>
                <w:rFonts w:ascii="Times New Roman Regular" w:eastAsia="宋体" w:hAnsi="Times New Roman Regular" w:cs="Times New Roman Regular"/>
                <w:sz w:val="24"/>
              </w:rPr>
            </w:pPr>
            <w:r w:rsidRPr="00993048">
              <w:rPr>
                <w:rFonts w:ascii="Times New Roman Regular" w:eastAsia="宋体" w:hAnsi="Times New Roman Regular" w:cs="Times New Roman Regular" w:hint="eastAsia"/>
                <w:sz w:val="24"/>
                <w:szCs w:val="24"/>
              </w:rPr>
              <w:t>城市建成区黑臭水体治理工程</w:t>
            </w:r>
          </w:p>
        </w:tc>
        <w:tc>
          <w:tcPr>
            <w:tcW w:w="640" w:type="pct"/>
            <w:vAlign w:val="center"/>
          </w:tcPr>
          <w:p w:rsidR="00B373FD" w:rsidRPr="00993048">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太仓市</w:t>
            </w:r>
            <w:r w:rsidRPr="00993048" w:rsidR="00C82635">
              <w:rPr>
                <w:rFonts w:ascii="Times New Roman Regular" w:eastAsia="宋体" w:hAnsi="Times New Roman Regular" w:cs="Times New Roman Regular" w:hint="eastAsia"/>
                <w:sz w:val="24"/>
                <w:szCs w:val="24"/>
              </w:rPr>
              <w:t>水务局</w:t>
            </w:r>
          </w:p>
        </w:tc>
        <w:tc>
          <w:tcPr>
            <w:tcW w:w="539" w:type="pct"/>
            <w:vAlign w:val="center"/>
          </w:tcPr>
          <w:p w:rsidR="00B373FD" w:rsidRPr="00993048">
            <w:pPr>
              <w:spacing w:line="240" w:lineRule="auto"/>
              <w:jc w:val="center"/>
              <w:rPr>
                <w:rFonts w:ascii="Times New Roman Regular" w:eastAsia="宋体" w:hAnsi="Times New Roman Regular" w:cs="Times New Roman Regular"/>
                <w:sz w:val="24"/>
              </w:rPr>
            </w:pPr>
            <w:r w:rsidRPr="00993048">
              <w:rPr>
                <w:rFonts w:ascii="Times New Roman Regular" w:eastAsia="宋体" w:hAnsi="Times New Roman Regular" w:cs="Times New Roman Regular"/>
                <w:sz w:val="24"/>
                <w:szCs w:val="24"/>
              </w:rPr>
              <w:t>/</w:t>
            </w:r>
          </w:p>
        </w:tc>
        <w:tc>
          <w:tcPr>
            <w:tcW w:w="551"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sz w:val="24"/>
              </w:rPr>
              <w:t>已完成</w:t>
            </w:r>
          </w:p>
        </w:tc>
        <w:tc>
          <w:tcPr>
            <w:tcW w:w="449" w:type="pct"/>
            <w:vAlign w:val="center"/>
          </w:tcPr>
          <w:p w:rsidR="00B373FD" w:rsidRPr="00B21412">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rPr>
              <w:t>1</w:t>
            </w:r>
            <w:r>
              <w:rPr>
                <w:rFonts w:ascii="Times New Roman Regular" w:eastAsia="宋体" w:hAnsi="Times New Roman Regular" w:cs="Times New Roman Regular"/>
                <w:sz w:val="24"/>
              </w:rPr>
              <w:t>700</w:t>
            </w:r>
          </w:p>
        </w:tc>
        <w:tc>
          <w:tcPr>
            <w:tcW w:w="1363" w:type="pct"/>
            <w:vAlign w:val="center"/>
          </w:tcPr>
          <w:p w:rsidR="00B373FD" w:rsidRPr="00C82635">
            <w:pPr>
              <w:spacing w:line="240" w:lineRule="auto"/>
              <w:jc w:val="center"/>
              <w:rPr>
                <w:rFonts w:ascii="Times New Roman Regular" w:eastAsia="宋体" w:hAnsi="Times New Roman Regular" w:cs="Times New Roman Regular"/>
                <w:sz w:val="24"/>
              </w:rPr>
            </w:pPr>
          </w:p>
        </w:tc>
      </w:tr>
      <w:tr w:rsidTr="00967DA2">
        <w:tblPrEx>
          <w:tblW w:w="5000" w:type="pct"/>
          <w:jc w:val="center"/>
          <w:tblLook w:val="04A0"/>
        </w:tblPrEx>
        <w:trPr>
          <w:trHeight w:val="20"/>
          <w:jc w:val="center"/>
        </w:trPr>
        <w:tc>
          <w:tcPr>
            <w:tcW w:w="219" w:type="pct"/>
            <w:vAlign w:val="center"/>
          </w:tcPr>
          <w:p w:rsidR="00B373FD">
            <w:pPr>
              <w:pStyle w:val="Style52"/>
              <w:numPr>
                <w:ilvl w:val="0"/>
                <w:numId w:val="11"/>
              </w:numPr>
              <w:spacing w:line="240" w:lineRule="auto"/>
              <w:ind w:firstLineChars="0"/>
              <w:jc w:val="right"/>
              <w:rPr>
                <w:rFonts w:ascii="Times New Roman Regular" w:hAnsi="Times New Roman Regular" w:cs="Times New Roman Regular"/>
                <w:sz w:val="24"/>
                <w:szCs w:val="24"/>
              </w:rPr>
            </w:pPr>
          </w:p>
        </w:tc>
        <w:tc>
          <w:tcPr>
            <w:tcW w:w="1238" w:type="pct"/>
            <w:vAlign w:val="center"/>
          </w:tcPr>
          <w:p w:rsidR="00B373FD" w:rsidRPr="00C82635">
            <w:pPr>
              <w:spacing w:line="240" w:lineRule="auto"/>
              <w:ind w:left="-83" w:right="-131" w:leftChars="-26" w:rightChars="-41"/>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洙泾河整治工程</w:t>
            </w:r>
          </w:p>
        </w:tc>
        <w:tc>
          <w:tcPr>
            <w:tcW w:w="640"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太仓市</w:t>
            </w:r>
            <w:r w:rsidR="00C82635">
              <w:rPr>
                <w:rFonts w:ascii="Times New Roman Regular" w:eastAsia="宋体" w:hAnsi="Times New Roman Regular" w:cs="Times New Roman Regular" w:hint="eastAsia"/>
                <w:sz w:val="24"/>
                <w:szCs w:val="24"/>
              </w:rPr>
              <w:t>水务局</w:t>
            </w:r>
          </w:p>
        </w:tc>
        <w:tc>
          <w:tcPr>
            <w:tcW w:w="539"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sz w:val="24"/>
                <w:szCs w:val="24"/>
              </w:rPr>
              <w:t>73200</w:t>
            </w:r>
          </w:p>
        </w:tc>
        <w:tc>
          <w:tcPr>
            <w:tcW w:w="551"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未开展</w:t>
            </w:r>
          </w:p>
        </w:tc>
        <w:tc>
          <w:tcPr>
            <w:tcW w:w="449"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sz w:val="24"/>
                <w:szCs w:val="24"/>
              </w:rPr>
              <w:t>0</w:t>
            </w:r>
          </w:p>
        </w:tc>
        <w:tc>
          <w:tcPr>
            <w:tcW w:w="1363" w:type="pct"/>
            <w:vAlign w:val="center"/>
          </w:tcPr>
          <w:p w:rsidR="00B373FD" w:rsidRPr="00B21412">
            <w:pPr>
              <w:spacing w:line="240" w:lineRule="auto"/>
              <w:jc w:val="center"/>
              <w:rPr>
                <w:rFonts w:ascii="Times New Roman Regular" w:eastAsia="宋体" w:hAnsi="Times New Roman Regular" w:cs="Times New Roman Regular"/>
                <w:sz w:val="24"/>
              </w:rPr>
            </w:pPr>
          </w:p>
        </w:tc>
      </w:tr>
      <w:tr w:rsidTr="00967DA2">
        <w:tblPrEx>
          <w:tblW w:w="5000" w:type="pct"/>
          <w:jc w:val="center"/>
          <w:tblLook w:val="04A0"/>
        </w:tblPrEx>
        <w:trPr>
          <w:trHeight w:val="20"/>
          <w:jc w:val="center"/>
        </w:trPr>
        <w:tc>
          <w:tcPr>
            <w:tcW w:w="219" w:type="pct"/>
            <w:vAlign w:val="center"/>
          </w:tcPr>
          <w:p w:rsidR="00B373FD">
            <w:pPr>
              <w:pStyle w:val="Style52"/>
              <w:numPr>
                <w:ilvl w:val="0"/>
                <w:numId w:val="11"/>
              </w:numPr>
              <w:spacing w:line="240" w:lineRule="auto"/>
              <w:ind w:firstLineChars="0"/>
              <w:jc w:val="right"/>
              <w:rPr>
                <w:rFonts w:ascii="Times New Roman Regular" w:hAnsi="Times New Roman Regular" w:cs="Times New Roman Regular"/>
                <w:sz w:val="24"/>
                <w:szCs w:val="24"/>
              </w:rPr>
            </w:pPr>
          </w:p>
        </w:tc>
        <w:tc>
          <w:tcPr>
            <w:tcW w:w="1238" w:type="pct"/>
            <w:vAlign w:val="center"/>
          </w:tcPr>
          <w:p w:rsidR="00B373FD" w:rsidRPr="00C82635">
            <w:pPr>
              <w:spacing w:line="240" w:lineRule="auto"/>
              <w:ind w:left="-83" w:right="-131" w:leftChars="-26" w:rightChars="-41"/>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塘泾河（石头塘</w:t>
            </w:r>
            <w:r>
              <w:rPr>
                <w:rFonts w:ascii="Times New Roman Regular" w:eastAsia="宋体" w:hAnsi="Times New Roman Regular" w:cs="Times New Roman Regular" w:hint="eastAsia"/>
                <w:sz w:val="24"/>
                <w:szCs w:val="24"/>
              </w:rPr>
              <w:t>-</w:t>
            </w:r>
            <w:r>
              <w:rPr>
                <w:rFonts w:ascii="Times New Roman Regular" w:eastAsia="宋体" w:hAnsi="Times New Roman Regular" w:cs="Times New Roman Regular" w:hint="eastAsia"/>
                <w:sz w:val="24"/>
                <w:szCs w:val="24"/>
              </w:rPr>
              <w:t>朝阳河段）整治工程</w:t>
            </w:r>
          </w:p>
        </w:tc>
        <w:tc>
          <w:tcPr>
            <w:tcW w:w="640"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太仓市</w:t>
            </w:r>
            <w:r w:rsidR="00C82635">
              <w:rPr>
                <w:rFonts w:ascii="Times New Roman Regular" w:eastAsia="宋体" w:hAnsi="Times New Roman Regular" w:cs="Times New Roman Regular" w:hint="eastAsia"/>
                <w:sz w:val="24"/>
                <w:szCs w:val="24"/>
              </w:rPr>
              <w:t>水务局</w:t>
            </w:r>
          </w:p>
        </w:tc>
        <w:tc>
          <w:tcPr>
            <w:tcW w:w="539"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sz w:val="24"/>
                <w:szCs w:val="24"/>
              </w:rPr>
              <w:t>47400</w:t>
            </w:r>
          </w:p>
        </w:tc>
        <w:tc>
          <w:tcPr>
            <w:tcW w:w="551"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未开展</w:t>
            </w:r>
          </w:p>
        </w:tc>
        <w:tc>
          <w:tcPr>
            <w:tcW w:w="449"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sz w:val="24"/>
                <w:szCs w:val="24"/>
              </w:rPr>
              <w:t>0</w:t>
            </w:r>
          </w:p>
        </w:tc>
        <w:tc>
          <w:tcPr>
            <w:tcW w:w="1363" w:type="pct"/>
            <w:vAlign w:val="center"/>
          </w:tcPr>
          <w:p w:rsidR="00B373FD" w:rsidRPr="00B21412">
            <w:pPr>
              <w:spacing w:line="240" w:lineRule="auto"/>
              <w:jc w:val="center"/>
              <w:rPr>
                <w:rFonts w:ascii="Times New Roman Regular" w:eastAsia="宋体" w:hAnsi="Times New Roman Regular" w:cs="Times New Roman Regular"/>
                <w:sz w:val="24"/>
              </w:rPr>
            </w:pPr>
          </w:p>
        </w:tc>
      </w:tr>
      <w:tr w:rsidTr="00967DA2">
        <w:tblPrEx>
          <w:tblW w:w="5000" w:type="pct"/>
          <w:jc w:val="center"/>
          <w:tblLook w:val="04A0"/>
        </w:tblPrEx>
        <w:trPr>
          <w:trHeight w:val="20"/>
          <w:jc w:val="center"/>
        </w:trPr>
        <w:tc>
          <w:tcPr>
            <w:tcW w:w="219" w:type="pct"/>
            <w:vAlign w:val="center"/>
          </w:tcPr>
          <w:p w:rsidR="00B373FD">
            <w:pPr>
              <w:pStyle w:val="Style52"/>
              <w:numPr>
                <w:ilvl w:val="0"/>
                <w:numId w:val="11"/>
              </w:numPr>
              <w:spacing w:line="240" w:lineRule="auto"/>
              <w:ind w:firstLineChars="0"/>
              <w:jc w:val="right"/>
              <w:rPr>
                <w:rFonts w:ascii="Times New Roman Regular" w:hAnsi="Times New Roman Regular" w:cs="Times New Roman Regular"/>
                <w:sz w:val="24"/>
                <w:szCs w:val="24"/>
              </w:rPr>
            </w:pPr>
          </w:p>
        </w:tc>
        <w:tc>
          <w:tcPr>
            <w:tcW w:w="1238" w:type="pct"/>
            <w:vAlign w:val="center"/>
          </w:tcPr>
          <w:p w:rsidR="00B373FD" w:rsidRPr="00C82635">
            <w:pPr>
              <w:spacing w:line="240" w:lineRule="auto"/>
              <w:ind w:left="-83" w:right="-131" w:leftChars="-26" w:rightChars="-41"/>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生活污水处理管网建设工程</w:t>
            </w:r>
          </w:p>
        </w:tc>
        <w:tc>
          <w:tcPr>
            <w:tcW w:w="640"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水务集团</w:t>
            </w:r>
          </w:p>
        </w:tc>
        <w:tc>
          <w:tcPr>
            <w:tcW w:w="539"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sz w:val="24"/>
                <w:szCs w:val="24"/>
              </w:rPr>
              <w:t>3000</w:t>
            </w:r>
          </w:p>
        </w:tc>
        <w:tc>
          <w:tcPr>
            <w:tcW w:w="551"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已完成</w:t>
            </w:r>
          </w:p>
        </w:tc>
        <w:tc>
          <w:tcPr>
            <w:tcW w:w="449"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sz w:val="24"/>
                <w:szCs w:val="24"/>
              </w:rPr>
              <w:t>3500</w:t>
            </w:r>
          </w:p>
        </w:tc>
        <w:tc>
          <w:tcPr>
            <w:tcW w:w="1363" w:type="pct"/>
            <w:vAlign w:val="center"/>
          </w:tcPr>
          <w:p w:rsidR="00B373FD" w:rsidRPr="00B21412">
            <w:pPr>
              <w:spacing w:line="240" w:lineRule="auto"/>
              <w:jc w:val="center"/>
              <w:rPr>
                <w:rFonts w:ascii="Times New Roman Regular" w:eastAsia="宋体" w:hAnsi="Times New Roman Regular" w:cs="Times New Roman Regular"/>
                <w:sz w:val="24"/>
              </w:rPr>
            </w:pPr>
          </w:p>
        </w:tc>
      </w:tr>
      <w:tr w:rsidTr="00967DA2">
        <w:tblPrEx>
          <w:tblW w:w="5000" w:type="pct"/>
          <w:jc w:val="center"/>
          <w:tblLook w:val="04A0"/>
        </w:tblPrEx>
        <w:trPr>
          <w:trHeight w:val="20"/>
          <w:jc w:val="center"/>
        </w:trPr>
        <w:tc>
          <w:tcPr>
            <w:tcW w:w="219" w:type="pct"/>
            <w:vAlign w:val="center"/>
          </w:tcPr>
          <w:p w:rsidR="00B373FD">
            <w:pPr>
              <w:pStyle w:val="Style52"/>
              <w:numPr>
                <w:ilvl w:val="0"/>
                <w:numId w:val="11"/>
              </w:numPr>
              <w:spacing w:line="240" w:lineRule="auto"/>
              <w:ind w:firstLineChars="0"/>
              <w:jc w:val="right"/>
              <w:rPr>
                <w:rFonts w:ascii="Times New Roman Regular" w:hAnsi="Times New Roman Regular" w:cs="Times New Roman Regular"/>
                <w:sz w:val="24"/>
                <w:szCs w:val="24"/>
              </w:rPr>
            </w:pPr>
          </w:p>
        </w:tc>
        <w:tc>
          <w:tcPr>
            <w:tcW w:w="1238" w:type="pct"/>
            <w:vAlign w:val="center"/>
          </w:tcPr>
          <w:p w:rsidR="00B373FD" w:rsidRPr="00C82635">
            <w:pPr>
              <w:spacing w:line="240" w:lineRule="auto"/>
              <w:ind w:left="-83" w:right="-131" w:leftChars="-26" w:rightChars="-41"/>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8#</w:t>
            </w:r>
            <w:r>
              <w:rPr>
                <w:rFonts w:ascii="Times New Roman Regular" w:eastAsia="宋体" w:hAnsi="Times New Roman Regular" w:cs="Times New Roman Regular" w:hint="eastAsia"/>
                <w:sz w:val="24"/>
                <w:szCs w:val="24"/>
              </w:rPr>
              <w:t>机组超低排放改造</w:t>
            </w:r>
          </w:p>
        </w:tc>
        <w:tc>
          <w:tcPr>
            <w:tcW w:w="640" w:type="pct"/>
            <w:vAlign w:val="center"/>
          </w:tcPr>
          <w:p w:rsidR="00B373FD" w:rsidRPr="00C82635" w:rsidP="00C80692">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太仓</w:t>
            </w:r>
            <w:r w:rsidR="00C82635">
              <w:rPr>
                <w:rFonts w:ascii="Times New Roman Regular" w:eastAsia="宋体" w:hAnsi="Times New Roman Regular" w:cs="Times New Roman Regular" w:hint="eastAsia"/>
                <w:sz w:val="24"/>
                <w:szCs w:val="24"/>
              </w:rPr>
              <w:t>生态环境局、国华太仓</w:t>
            </w:r>
            <w:r w:rsidR="00C82635">
              <w:rPr>
                <w:rFonts w:ascii="Times New Roman Regular" w:eastAsia="宋体" w:hAnsi="Times New Roman Regular" w:cs="Times New Roman Regular" w:hint="eastAsia"/>
                <w:sz w:val="24"/>
                <w:szCs w:val="24"/>
              </w:rPr>
              <w:t>发电有限公司</w:t>
            </w:r>
          </w:p>
        </w:tc>
        <w:tc>
          <w:tcPr>
            <w:tcW w:w="539"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sz w:val="24"/>
                <w:szCs w:val="24"/>
              </w:rPr>
              <w:t>17274</w:t>
            </w:r>
          </w:p>
        </w:tc>
        <w:tc>
          <w:tcPr>
            <w:tcW w:w="551"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已完成</w:t>
            </w:r>
          </w:p>
        </w:tc>
        <w:tc>
          <w:tcPr>
            <w:tcW w:w="449"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sz w:val="24"/>
                <w:szCs w:val="24"/>
              </w:rPr>
              <w:t>18180</w:t>
            </w:r>
          </w:p>
        </w:tc>
        <w:tc>
          <w:tcPr>
            <w:tcW w:w="1363" w:type="pct"/>
            <w:vAlign w:val="center"/>
          </w:tcPr>
          <w:p w:rsidR="00B373FD" w:rsidRPr="00B21412">
            <w:pPr>
              <w:spacing w:line="240" w:lineRule="auto"/>
              <w:jc w:val="center"/>
              <w:rPr>
                <w:rFonts w:ascii="Times New Roman Regular" w:eastAsia="宋体" w:hAnsi="Times New Roman Regular" w:cs="Times New Roman Regular"/>
                <w:sz w:val="24"/>
              </w:rPr>
            </w:pPr>
          </w:p>
        </w:tc>
      </w:tr>
      <w:tr w:rsidTr="00967DA2">
        <w:tblPrEx>
          <w:tblW w:w="5000" w:type="pct"/>
          <w:jc w:val="center"/>
          <w:tblLook w:val="04A0"/>
        </w:tblPrEx>
        <w:trPr>
          <w:trHeight w:val="20"/>
          <w:jc w:val="center"/>
        </w:trPr>
        <w:tc>
          <w:tcPr>
            <w:tcW w:w="219" w:type="pct"/>
            <w:vAlign w:val="center"/>
          </w:tcPr>
          <w:p w:rsidR="00B373FD">
            <w:pPr>
              <w:pStyle w:val="Style52"/>
              <w:numPr>
                <w:ilvl w:val="0"/>
                <w:numId w:val="11"/>
              </w:numPr>
              <w:spacing w:line="240" w:lineRule="auto"/>
              <w:ind w:firstLineChars="0"/>
              <w:jc w:val="right"/>
              <w:rPr>
                <w:rFonts w:ascii="Times New Roman Regular" w:hAnsi="Times New Roman Regular" w:cs="Times New Roman Regular"/>
                <w:sz w:val="24"/>
                <w:szCs w:val="24"/>
              </w:rPr>
            </w:pPr>
          </w:p>
        </w:tc>
        <w:tc>
          <w:tcPr>
            <w:tcW w:w="1238" w:type="pct"/>
            <w:vAlign w:val="center"/>
          </w:tcPr>
          <w:p w:rsidR="00B373FD" w:rsidRPr="00C82635">
            <w:pPr>
              <w:spacing w:line="240" w:lineRule="auto"/>
              <w:ind w:left="-83" w:right="-131" w:leftChars="-26" w:rightChars="-41"/>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3#4#</w:t>
            </w:r>
            <w:r>
              <w:rPr>
                <w:rFonts w:ascii="Times New Roman Regular" w:eastAsia="宋体" w:hAnsi="Times New Roman Regular" w:cs="Times New Roman Regular" w:hint="eastAsia"/>
                <w:sz w:val="24"/>
                <w:szCs w:val="24"/>
              </w:rPr>
              <w:t>机组超低排放改造</w:t>
            </w:r>
          </w:p>
        </w:tc>
        <w:tc>
          <w:tcPr>
            <w:tcW w:w="640" w:type="pct"/>
            <w:vAlign w:val="center"/>
          </w:tcPr>
          <w:p w:rsidR="00B373FD" w:rsidRPr="00C82635" w:rsidP="00C80692">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太仓</w:t>
            </w:r>
            <w:r w:rsidR="00C82635">
              <w:rPr>
                <w:rFonts w:ascii="Times New Roman Regular" w:eastAsia="宋体" w:hAnsi="Times New Roman Regular" w:cs="Times New Roman Regular" w:hint="eastAsia"/>
                <w:sz w:val="24"/>
                <w:szCs w:val="24"/>
              </w:rPr>
              <w:t>生态环境局、太仓港协鑫发电有限公司</w:t>
            </w:r>
          </w:p>
        </w:tc>
        <w:tc>
          <w:tcPr>
            <w:tcW w:w="539"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sz w:val="24"/>
                <w:szCs w:val="24"/>
              </w:rPr>
              <w:t>6302</w:t>
            </w:r>
          </w:p>
        </w:tc>
        <w:tc>
          <w:tcPr>
            <w:tcW w:w="551"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已完成</w:t>
            </w:r>
          </w:p>
        </w:tc>
        <w:tc>
          <w:tcPr>
            <w:tcW w:w="449"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sz w:val="24"/>
                <w:szCs w:val="24"/>
              </w:rPr>
              <w:t>6302</w:t>
            </w:r>
          </w:p>
        </w:tc>
        <w:tc>
          <w:tcPr>
            <w:tcW w:w="1363" w:type="pct"/>
            <w:vAlign w:val="center"/>
          </w:tcPr>
          <w:p w:rsidR="00B373FD" w:rsidRPr="00B21412">
            <w:pPr>
              <w:spacing w:line="240" w:lineRule="auto"/>
              <w:jc w:val="center"/>
              <w:rPr>
                <w:rFonts w:ascii="Times New Roman Regular" w:eastAsia="宋体" w:hAnsi="Times New Roman Regular" w:cs="Times New Roman Regular"/>
                <w:sz w:val="24"/>
              </w:rPr>
            </w:pPr>
          </w:p>
        </w:tc>
      </w:tr>
      <w:tr w:rsidTr="00967DA2">
        <w:tblPrEx>
          <w:tblW w:w="5000" w:type="pct"/>
          <w:jc w:val="center"/>
          <w:tblLook w:val="04A0"/>
        </w:tblPrEx>
        <w:trPr>
          <w:trHeight w:val="20"/>
          <w:jc w:val="center"/>
        </w:trPr>
        <w:tc>
          <w:tcPr>
            <w:tcW w:w="219" w:type="pct"/>
            <w:vAlign w:val="center"/>
          </w:tcPr>
          <w:p w:rsidR="00B373FD">
            <w:pPr>
              <w:pStyle w:val="Style52"/>
              <w:numPr>
                <w:ilvl w:val="0"/>
                <w:numId w:val="11"/>
              </w:numPr>
              <w:spacing w:line="240" w:lineRule="auto"/>
              <w:ind w:firstLineChars="0"/>
              <w:jc w:val="right"/>
              <w:rPr>
                <w:rFonts w:ascii="Times New Roman Regular" w:hAnsi="Times New Roman Regular" w:cs="Times New Roman Regular"/>
                <w:sz w:val="24"/>
                <w:szCs w:val="24"/>
              </w:rPr>
            </w:pPr>
          </w:p>
        </w:tc>
        <w:tc>
          <w:tcPr>
            <w:tcW w:w="1238" w:type="pct"/>
            <w:vAlign w:val="center"/>
          </w:tcPr>
          <w:p w:rsidR="00B373FD" w:rsidRPr="00C82635">
            <w:pPr>
              <w:spacing w:line="240" w:lineRule="auto"/>
              <w:ind w:left="-83" w:right="-131" w:leftChars="-26" w:rightChars="-41"/>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1#2#3#4#</w:t>
            </w:r>
            <w:r>
              <w:rPr>
                <w:rFonts w:ascii="Times New Roman Regular" w:eastAsia="宋体" w:hAnsi="Times New Roman Regular" w:cs="Times New Roman Regular" w:hint="eastAsia"/>
                <w:sz w:val="24"/>
                <w:szCs w:val="24"/>
              </w:rPr>
              <w:t>机组超低排放改造</w:t>
            </w:r>
          </w:p>
        </w:tc>
        <w:tc>
          <w:tcPr>
            <w:tcW w:w="640" w:type="pct"/>
            <w:vAlign w:val="center"/>
          </w:tcPr>
          <w:p w:rsidR="00B373FD" w:rsidRPr="00C82635" w:rsidP="00C80692">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太仓</w:t>
            </w:r>
            <w:r w:rsidR="00C82635">
              <w:rPr>
                <w:rFonts w:ascii="Times New Roman Regular" w:eastAsia="宋体" w:hAnsi="Times New Roman Regular" w:cs="Times New Roman Regular" w:hint="eastAsia"/>
                <w:sz w:val="24"/>
                <w:szCs w:val="24"/>
              </w:rPr>
              <w:t>生态环境局、华能太仓电厂</w:t>
            </w:r>
          </w:p>
        </w:tc>
        <w:tc>
          <w:tcPr>
            <w:tcW w:w="539"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sz w:val="24"/>
                <w:szCs w:val="24"/>
              </w:rPr>
              <w:t>27000</w:t>
            </w:r>
          </w:p>
        </w:tc>
        <w:tc>
          <w:tcPr>
            <w:tcW w:w="551"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已完成</w:t>
            </w:r>
          </w:p>
        </w:tc>
        <w:tc>
          <w:tcPr>
            <w:tcW w:w="449"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sz w:val="24"/>
                <w:szCs w:val="24"/>
              </w:rPr>
              <w:t>26409</w:t>
            </w:r>
          </w:p>
        </w:tc>
        <w:tc>
          <w:tcPr>
            <w:tcW w:w="1363" w:type="pct"/>
            <w:vAlign w:val="center"/>
          </w:tcPr>
          <w:p w:rsidR="00B373FD" w:rsidRPr="00B21412">
            <w:pPr>
              <w:spacing w:line="240" w:lineRule="auto"/>
              <w:jc w:val="center"/>
              <w:rPr>
                <w:rFonts w:ascii="Times New Roman Regular" w:eastAsia="宋体" w:hAnsi="Times New Roman Regular" w:cs="Times New Roman Regular"/>
                <w:sz w:val="24"/>
              </w:rPr>
            </w:pPr>
          </w:p>
        </w:tc>
      </w:tr>
      <w:tr w:rsidTr="00967DA2">
        <w:tblPrEx>
          <w:tblW w:w="5000" w:type="pct"/>
          <w:jc w:val="center"/>
          <w:tblLook w:val="04A0"/>
        </w:tblPrEx>
        <w:trPr>
          <w:trHeight w:val="20"/>
          <w:jc w:val="center"/>
        </w:trPr>
        <w:tc>
          <w:tcPr>
            <w:tcW w:w="219" w:type="pct"/>
            <w:vAlign w:val="center"/>
          </w:tcPr>
          <w:p w:rsidR="00B373FD">
            <w:pPr>
              <w:pStyle w:val="Style52"/>
              <w:numPr>
                <w:ilvl w:val="0"/>
                <w:numId w:val="11"/>
              </w:numPr>
              <w:spacing w:line="240" w:lineRule="auto"/>
              <w:ind w:firstLineChars="0"/>
              <w:jc w:val="right"/>
              <w:rPr>
                <w:rFonts w:ascii="Times New Roman Regular" w:hAnsi="Times New Roman Regular" w:cs="Times New Roman Regular"/>
                <w:sz w:val="24"/>
                <w:szCs w:val="24"/>
              </w:rPr>
            </w:pPr>
          </w:p>
        </w:tc>
        <w:tc>
          <w:tcPr>
            <w:tcW w:w="1238" w:type="pct"/>
            <w:vAlign w:val="center"/>
          </w:tcPr>
          <w:p w:rsidR="00B373FD" w:rsidRPr="00C82635">
            <w:pPr>
              <w:spacing w:line="240" w:lineRule="auto"/>
              <w:ind w:left="-83" w:right="-131" w:leftChars="-26" w:rightChars="-41"/>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燃煤小锅炉整治工程</w:t>
            </w:r>
          </w:p>
        </w:tc>
        <w:tc>
          <w:tcPr>
            <w:tcW w:w="640"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太仓生态环境局</w:t>
            </w:r>
          </w:p>
        </w:tc>
        <w:tc>
          <w:tcPr>
            <w:tcW w:w="539"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sz w:val="24"/>
                <w:szCs w:val="24"/>
              </w:rPr>
              <w:t>/</w:t>
            </w:r>
          </w:p>
        </w:tc>
        <w:tc>
          <w:tcPr>
            <w:tcW w:w="551"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已完成</w:t>
            </w:r>
          </w:p>
        </w:tc>
        <w:tc>
          <w:tcPr>
            <w:tcW w:w="449"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sz w:val="24"/>
                <w:szCs w:val="24"/>
              </w:rPr>
              <w:t>/</w:t>
            </w:r>
          </w:p>
        </w:tc>
        <w:tc>
          <w:tcPr>
            <w:tcW w:w="1363" w:type="pct"/>
            <w:vAlign w:val="center"/>
          </w:tcPr>
          <w:p w:rsidR="00B373FD" w:rsidRPr="00B21412">
            <w:pPr>
              <w:spacing w:line="240" w:lineRule="auto"/>
              <w:jc w:val="center"/>
              <w:rPr>
                <w:rFonts w:ascii="Times New Roman Regular" w:eastAsia="宋体" w:hAnsi="Times New Roman Regular" w:cs="Times New Roman Regular"/>
                <w:sz w:val="24"/>
              </w:rPr>
            </w:pPr>
          </w:p>
        </w:tc>
      </w:tr>
      <w:tr w:rsidTr="00967DA2">
        <w:tblPrEx>
          <w:tblW w:w="5000" w:type="pct"/>
          <w:jc w:val="center"/>
          <w:tblLook w:val="04A0"/>
        </w:tblPrEx>
        <w:trPr>
          <w:trHeight w:val="20"/>
          <w:jc w:val="center"/>
        </w:trPr>
        <w:tc>
          <w:tcPr>
            <w:tcW w:w="219" w:type="pct"/>
            <w:vAlign w:val="center"/>
          </w:tcPr>
          <w:p w:rsidR="00B373FD">
            <w:pPr>
              <w:pStyle w:val="Style52"/>
              <w:numPr>
                <w:ilvl w:val="0"/>
                <w:numId w:val="11"/>
              </w:numPr>
              <w:spacing w:line="240" w:lineRule="auto"/>
              <w:ind w:firstLineChars="0"/>
              <w:jc w:val="right"/>
              <w:rPr>
                <w:rFonts w:ascii="Times New Roman Regular" w:hAnsi="Times New Roman Regular" w:cs="Times New Roman Regular"/>
                <w:sz w:val="24"/>
                <w:szCs w:val="24"/>
              </w:rPr>
            </w:pPr>
          </w:p>
        </w:tc>
        <w:tc>
          <w:tcPr>
            <w:tcW w:w="1238" w:type="pct"/>
            <w:vAlign w:val="center"/>
          </w:tcPr>
          <w:p w:rsidR="00B373FD" w:rsidRPr="00C82635">
            <w:pPr>
              <w:spacing w:line="240" w:lineRule="auto"/>
              <w:ind w:left="-83" w:right="-131" w:leftChars="-26" w:rightChars="-41"/>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黄标车淘汰工程</w:t>
            </w:r>
          </w:p>
        </w:tc>
        <w:tc>
          <w:tcPr>
            <w:tcW w:w="640"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太仓市</w:t>
            </w:r>
            <w:r w:rsidR="00C82635">
              <w:rPr>
                <w:rFonts w:ascii="Times New Roman Regular" w:eastAsia="宋体" w:hAnsi="Times New Roman Regular" w:cs="Times New Roman Regular" w:hint="eastAsia"/>
                <w:sz w:val="24"/>
                <w:szCs w:val="24"/>
              </w:rPr>
              <w:t>公安局</w:t>
            </w:r>
          </w:p>
        </w:tc>
        <w:tc>
          <w:tcPr>
            <w:tcW w:w="539"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sz w:val="24"/>
                <w:szCs w:val="24"/>
              </w:rPr>
              <w:t>/</w:t>
            </w:r>
          </w:p>
        </w:tc>
        <w:tc>
          <w:tcPr>
            <w:tcW w:w="551"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已完成</w:t>
            </w:r>
          </w:p>
        </w:tc>
        <w:tc>
          <w:tcPr>
            <w:tcW w:w="449" w:type="pct"/>
            <w:vAlign w:val="center"/>
          </w:tcPr>
          <w:p w:rsidR="00B373FD" w:rsidRPr="00C82635">
            <w:pPr>
              <w:spacing w:line="240" w:lineRule="auto"/>
              <w:jc w:val="center"/>
              <w:rPr>
                <w:rFonts w:ascii="Times New Roman Regular" w:eastAsia="宋体" w:hAnsi="Times New Roman Regular" w:cs="Times New Roman Regular"/>
                <w:sz w:val="24"/>
              </w:rPr>
            </w:pPr>
            <w:r w:rsidRPr="00993048">
              <w:rPr>
                <w:rFonts w:ascii="Times New Roman Regular" w:eastAsia="宋体" w:hAnsi="Times New Roman Regular" w:cs="Times New Roman Regular"/>
                <w:sz w:val="24"/>
                <w:szCs w:val="24"/>
              </w:rPr>
              <w:t>1173</w:t>
            </w:r>
          </w:p>
        </w:tc>
        <w:tc>
          <w:tcPr>
            <w:tcW w:w="1363" w:type="pct"/>
            <w:vAlign w:val="center"/>
          </w:tcPr>
          <w:p w:rsidR="00B373FD" w:rsidRPr="00C82635">
            <w:pPr>
              <w:spacing w:line="240" w:lineRule="auto"/>
              <w:jc w:val="center"/>
              <w:rPr>
                <w:rFonts w:ascii="Times New Roman Regular" w:eastAsia="宋体" w:hAnsi="Times New Roman Regular" w:cs="Times New Roman Regular"/>
                <w:sz w:val="24"/>
              </w:rPr>
            </w:pPr>
          </w:p>
        </w:tc>
      </w:tr>
      <w:tr w:rsidTr="00967DA2">
        <w:tblPrEx>
          <w:tblW w:w="5000" w:type="pct"/>
          <w:jc w:val="center"/>
          <w:tblLook w:val="04A0"/>
        </w:tblPrEx>
        <w:trPr>
          <w:trHeight w:val="20"/>
          <w:jc w:val="center"/>
        </w:trPr>
        <w:tc>
          <w:tcPr>
            <w:tcW w:w="219" w:type="pct"/>
            <w:vAlign w:val="center"/>
          </w:tcPr>
          <w:p w:rsidR="00B373FD">
            <w:pPr>
              <w:pStyle w:val="Style52"/>
              <w:numPr>
                <w:ilvl w:val="0"/>
                <w:numId w:val="11"/>
              </w:numPr>
              <w:spacing w:line="240" w:lineRule="auto"/>
              <w:ind w:firstLineChars="0"/>
              <w:jc w:val="right"/>
              <w:rPr>
                <w:rFonts w:ascii="Times New Roman Regular" w:hAnsi="Times New Roman Regular" w:cs="Times New Roman Regular"/>
                <w:sz w:val="24"/>
                <w:szCs w:val="24"/>
              </w:rPr>
            </w:pPr>
          </w:p>
        </w:tc>
        <w:tc>
          <w:tcPr>
            <w:tcW w:w="1238" w:type="pct"/>
            <w:vAlign w:val="center"/>
          </w:tcPr>
          <w:p w:rsidR="00B373FD" w:rsidRPr="00C82635">
            <w:pPr>
              <w:spacing w:line="240" w:lineRule="auto"/>
              <w:ind w:left="-83" w:right="-131" w:leftChars="-26" w:rightChars="-41"/>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企业土壤环境数据库建设工程</w:t>
            </w:r>
          </w:p>
        </w:tc>
        <w:tc>
          <w:tcPr>
            <w:tcW w:w="640"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太仓生态环境局</w:t>
            </w:r>
          </w:p>
        </w:tc>
        <w:tc>
          <w:tcPr>
            <w:tcW w:w="539"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sz w:val="24"/>
                <w:szCs w:val="24"/>
              </w:rPr>
              <w:t>/</w:t>
            </w:r>
          </w:p>
        </w:tc>
        <w:tc>
          <w:tcPr>
            <w:tcW w:w="551"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未开展</w:t>
            </w:r>
          </w:p>
        </w:tc>
        <w:tc>
          <w:tcPr>
            <w:tcW w:w="449"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sz w:val="24"/>
                <w:szCs w:val="24"/>
              </w:rPr>
              <w:t>0</w:t>
            </w:r>
          </w:p>
        </w:tc>
        <w:tc>
          <w:tcPr>
            <w:tcW w:w="1363" w:type="pct"/>
            <w:vAlign w:val="center"/>
          </w:tcPr>
          <w:p w:rsidR="00B373FD" w:rsidRPr="00B21412">
            <w:pPr>
              <w:spacing w:line="240" w:lineRule="auto"/>
              <w:jc w:val="center"/>
              <w:rPr>
                <w:rFonts w:ascii="Times New Roman Regular" w:eastAsia="宋体" w:hAnsi="Times New Roman Regular" w:cs="Times New Roman Regular"/>
                <w:sz w:val="24"/>
              </w:rPr>
            </w:pPr>
          </w:p>
        </w:tc>
      </w:tr>
      <w:tr w:rsidTr="00967DA2">
        <w:tblPrEx>
          <w:tblW w:w="5000" w:type="pct"/>
          <w:jc w:val="center"/>
          <w:tblLook w:val="04A0"/>
        </w:tblPrEx>
        <w:trPr>
          <w:trHeight w:val="20"/>
          <w:jc w:val="center"/>
        </w:trPr>
        <w:tc>
          <w:tcPr>
            <w:tcW w:w="219" w:type="pct"/>
            <w:vAlign w:val="center"/>
          </w:tcPr>
          <w:p w:rsidR="00B373FD">
            <w:pPr>
              <w:pStyle w:val="Style52"/>
              <w:numPr>
                <w:ilvl w:val="0"/>
                <w:numId w:val="11"/>
              </w:numPr>
              <w:spacing w:line="240" w:lineRule="auto"/>
              <w:ind w:firstLineChars="0"/>
              <w:jc w:val="right"/>
              <w:rPr>
                <w:rFonts w:ascii="Times New Roman Regular" w:hAnsi="Times New Roman Regular" w:cs="Times New Roman Regular"/>
                <w:sz w:val="24"/>
                <w:szCs w:val="24"/>
              </w:rPr>
            </w:pPr>
          </w:p>
        </w:tc>
        <w:tc>
          <w:tcPr>
            <w:tcW w:w="1238"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工业污染场地治理修复工程</w:t>
            </w:r>
          </w:p>
        </w:tc>
        <w:tc>
          <w:tcPr>
            <w:tcW w:w="640"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太仓生态环境局</w:t>
            </w:r>
          </w:p>
        </w:tc>
        <w:tc>
          <w:tcPr>
            <w:tcW w:w="539"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sz w:val="24"/>
                <w:szCs w:val="24"/>
              </w:rPr>
              <w:t>400</w:t>
            </w:r>
          </w:p>
        </w:tc>
        <w:tc>
          <w:tcPr>
            <w:tcW w:w="551"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已完成</w:t>
            </w:r>
          </w:p>
        </w:tc>
        <w:tc>
          <w:tcPr>
            <w:tcW w:w="449"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sz w:val="24"/>
                <w:szCs w:val="24"/>
              </w:rPr>
              <w:t>178.65</w:t>
            </w:r>
          </w:p>
        </w:tc>
        <w:tc>
          <w:tcPr>
            <w:tcW w:w="1363" w:type="pct"/>
            <w:vAlign w:val="center"/>
          </w:tcPr>
          <w:p w:rsidR="00B373FD" w:rsidRPr="00B21412">
            <w:pPr>
              <w:spacing w:line="240" w:lineRule="auto"/>
              <w:jc w:val="center"/>
              <w:rPr>
                <w:rFonts w:ascii="Times New Roman Regular" w:eastAsia="宋体" w:hAnsi="Times New Roman Regular" w:cs="Times New Roman Regular"/>
                <w:sz w:val="24"/>
              </w:rPr>
            </w:pPr>
          </w:p>
        </w:tc>
      </w:tr>
      <w:tr w:rsidTr="00967DA2">
        <w:tblPrEx>
          <w:tblW w:w="5000" w:type="pct"/>
          <w:jc w:val="center"/>
          <w:tblLook w:val="04A0"/>
        </w:tblPrEx>
        <w:trPr>
          <w:trHeight w:val="20"/>
          <w:jc w:val="center"/>
        </w:trPr>
        <w:tc>
          <w:tcPr>
            <w:tcW w:w="219" w:type="pct"/>
            <w:vAlign w:val="center"/>
          </w:tcPr>
          <w:p w:rsidR="00B373FD">
            <w:pPr>
              <w:pStyle w:val="Style52"/>
              <w:numPr>
                <w:ilvl w:val="0"/>
                <w:numId w:val="11"/>
              </w:numPr>
              <w:spacing w:line="240" w:lineRule="auto"/>
              <w:ind w:firstLineChars="0"/>
              <w:jc w:val="right"/>
              <w:rPr>
                <w:rFonts w:ascii="Times New Roman Regular" w:hAnsi="Times New Roman Regular" w:cs="Times New Roman Regular"/>
                <w:sz w:val="24"/>
                <w:szCs w:val="24"/>
              </w:rPr>
            </w:pPr>
          </w:p>
        </w:tc>
        <w:tc>
          <w:tcPr>
            <w:tcW w:w="1238"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化工园区整治工程</w:t>
            </w:r>
          </w:p>
        </w:tc>
        <w:tc>
          <w:tcPr>
            <w:tcW w:w="640"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太仓生态环境局</w:t>
            </w:r>
          </w:p>
        </w:tc>
        <w:tc>
          <w:tcPr>
            <w:tcW w:w="539"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sz w:val="24"/>
                <w:szCs w:val="24"/>
              </w:rPr>
              <w:t>/</w:t>
            </w:r>
          </w:p>
        </w:tc>
        <w:tc>
          <w:tcPr>
            <w:tcW w:w="551"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开展中</w:t>
            </w:r>
          </w:p>
        </w:tc>
        <w:tc>
          <w:tcPr>
            <w:tcW w:w="449"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sz w:val="24"/>
                <w:szCs w:val="24"/>
              </w:rPr>
              <w:t>36920</w:t>
            </w:r>
          </w:p>
        </w:tc>
        <w:tc>
          <w:tcPr>
            <w:tcW w:w="1363"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中蓝一二期项目、生态缓冲区</w:t>
            </w:r>
          </w:p>
        </w:tc>
      </w:tr>
      <w:tr w:rsidTr="00967DA2">
        <w:tblPrEx>
          <w:tblW w:w="5000" w:type="pct"/>
          <w:jc w:val="center"/>
          <w:tblLook w:val="04A0"/>
        </w:tblPrEx>
        <w:trPr>
          <w:trHeight w:val="20"/>
          <w:jc w:val="center"/>
        </w:trPr>
        <w:tc>
          <w:tcPr>
            <w:tcW w:w="219" w:type="pct"/>
            <w:vAlign w:val="center"/>
          </w:tcPr>
          <w:p w:rsidR="00B373FD">
            <w:pPr>
              <w:pStyle w:val="Style52"/>
              <w:numPr>
                <w:ilvl w:val="0"/>
                <w:numId w:val="11"/>
              </w:numPr>
              <w:spacing w:line="240" w:lineRule="auto"/>
              <w:ind w:firstLineChars="0"/>
              <w:jc w:val="right"/>
              <w:rPr>
                <w:rFonts w:ascii="Times New Roman Regular" w:hAnsi="Times New Roman Regular" w:cs="Times New Roman Regular"/>
                <w:sz w:val="24"/>
                <w:szCs w:val="24"/>
              </w:rPr>
            </w:pPr>
          </w:p>
        </w:tc>
        <w:tc>
          <w:tcPr>
            <w:tcW w:w="1238" w:type="pct"/>
            <w:vAlign w:val="center"/>
          </w:tcPr>
          <w:p w:rsidR="00B373FD" w:rsidRPr="00C82635">
            <w:pPr>
              <w:spacing w:line="240" w:lineRule="auto"/>
              <w:ind w:left="-83" w:right="-131" w:leftChars="-26" w:rightChars="-41"/>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太仓市南郊污水处理厂扩建工程</w:t>
            </w:r>
          </w:p>
        </w:tc>
        <w:tc>
          <w:tcPr>
            <w:tcW w:w="640"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水务集团</w:t>
            </w:r>
          </w:p>
        </w:tc>
        <w:tc>
          <w:tcPr>
            <w:tcW w:w="539"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sz w:val="24"/>
                <w:szCs w:val="24"/>
              </w:rPr>
              <w:t>5000</w:t>
            </w:r>
          </w:p>
        </w:tc>
        <w:tc>
          <w:tcPr>
            <w:tcW w:w="551"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已完成</w:t>
            </w:r>
          </w:p>
        </w:tc>
        <w:tc>
          <w:tcPr>
            <w:tcW w:w="449"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sz w:val="24"/>
                <w:szCs w:val="24"/>
              </w:rPr>
              <w:t>11650.23</w:t>
            </w:r>
          </w:p>
        </w:tc>
        <w:tc>
          <w:tcPr>
            <w:tcW w:w="1363"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投资含提标</w:t>
            </w:r>
          </w:p>
        </w:tc>
      </w:tr>
      <w:tr w:rsidTr="00967DA2">
        <w:tblPrEx>
          <w:tblW w:w="5000" w:type="pct"/>
          <w:jc w:val="center"/>
          <w:tblLook w:val="04A0"/>
        </w:tblPrEx>
        <w:trPr>
          <w:trHeight w:val="20"/>
          <w:jc w:val="center"/>
        </w:trPr>
        <w:tc>
          <w:tcPr>
            <w:tcW w:w="219" w:type="pct"/>
            <w:vAlign w:val="center"/>
          </w:tcPr>
          <w:p w:rsidR="00B373FD">
            <w:pPr>
              <w:pStyle w:val="Style52"/>
              <w:numPr>
                <w:ilvl w:val="0"/>
                <w:numId w:val="11"/>
              </w:numPr>
              <w:spacing w:line="240" w:lineRule="auto"/>
              <w:ind w:firstLineChars="0"/>
              <w:jc w:val="right"/>
              <w:rPr>
                <w:rFonts w:ascii="Times New Roman Regular" w:hAnsi="Times New Roman Regular" w:cs="Times New Roman Regular"/>
                <w:sz w:val="24"/>
                <w:szCs w:val="24"/>
              </w:rPr>
            </w:pPr>
          </w:p>
        </w:tc>
        <w:tc>
          <w:tcPr>
            <w:tcW w:w="1238" w:type="pct"/>
            <w:vAlign w:val="center"/>
          </w:tcPr>
          <w:p w:rsidR="00B373FD" w:rsidRPr="00C82635">
            <w:pPr>
              <w:spacing w:line="240" w:lineRule="auto"/>
              <w:ind w:left="-83" w:right="-131" w:leftChars="-26" w:rightChars="-41"/>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太仓市双凤污水处理厂扩建工程</w:t>
            </w:r>
          </w:p>
        </w:tc>
        <w:tc>
          <w:tcPr>
            <w:tcW w:w="640"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水务集团</w:t>
            </w:r>
          </w:p>
        </w:tc>
        <w:tc>
          <w:tcPr>
            <w:tcW w:w="539"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sz w:val="24"/>
                <w:szCs w:val="24"/>
              </w:rPr>
              <w:t>1300</w:t>
            </w:r>
          </w:p>
        </w:tc>
        <w:tc>
          <w:tcPr>
            <w:tcW w:w="551"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已完成</w:t>
            </w:r>
          </w:p>
        </w:tc>
        <w:tc>
          <w:tcPr>
            <w:tcW w:w="449"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sz w:val="24"/>
                <w:szCs w:val="24"/>
              </w:rPr>
              <w:t>7819.87</w:t>
            </w:r>
          </w:p>
        </w:tc>
        <w:tc>
          <w:tcPr>
            <w:tcW w:w="1363"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投资含提标</w:t>
            </w:r>
          </w:p>
        </w:tc>
      </w:tr>
      <w:tr w:rsidTr="00967DA2">
        <w:tblPrEx>
          <w:tblW w:w="5000" w:type="pct"/>
          <w:jc w:val="center"/>
          <w:tblLook w:val="04A0"/>
        </w:tblPrEx>
        <w:trPr>
          <w:trHeight w:val="20"/>
          <w:jc w:val="center"/>
        </w:trPr>
        <w:tc>
          <w:tcPr>
            <w:tcW w:w="219" w:type="pct"/>
            <w:vAlign w:val="center"/>
          </w:tcPr>
          <w:p w:rsidR="00B373FD">
            <w:pPr>
              <w:pStyle w:val="Style52"/>
              <w:numPr>
                <w:ilvl w:val="0"/>
                <w:numId w:val="11"/>
              </w:numPr>
              <w:spacing w:line="240" w:lineRule="auto"/>
              <w:ind w:firstLineChars="0"/>
              <w:jc w:val="right"/>
              <w:rPr>
                <w:rFonts w:ascii="Times New Roman Regular" w:hAnsi="Times New Roman Regular" w:cs="Times New Roman Regular"/>
                <w:sz w:val="24"/>
                <w:szCs w:val="24"/>
              </w:rPr>
            </w:pPr>
          </w:p>
        </w:tc>
        <w:tc>
          <w:tcPr>
            <w:tcW w:w="1238" w:type="pct"/>
            <w:vAlign w:val="center"/>
          </w:tcPr>
          <w:p w:rsidR="00B373FD" w:rsidRPr="00C82635">
            <w:pPr>
              <w:spacing w:line="240" w:lineRule="auto"/>
              <w:ind w:left="-83" w:right="-131" w:leftChars="-26" w:rightChars="-41"/>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太仓市沙溪污水处理厂扩建工程</w:t>
            </w:r>
          </w:p>
        </w:tc>
        <w:tc>
          <w:tcPr>
            <w:tcW w:w="640"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水务集团</w:t>
            </w:r>
          </w:p>
        </w:tc>
        <w:tc>
          <w:tcPr>
            <w:tcW w:w="539"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sz w:val="24"/>
                <w:szCs w:val="24"/>
              </w:rPr>
              <w:t>4000</w:t>
            </w:r>
          </w:p>
        </w:tc>
        <w:tc>
          <w:tcPr>
            <w:tcW w:w="551"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已完成</w:t>
            </w:r>
          </w:p>
        </w:tc>
        <w:tc>
          <w:tcPr>
            <w:tcW w:w="449"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sz w:val="24"/>
                <w:szCs w:val="24"/>
              </w:rPr>
              <w:t>15128.16</w:t>
            </w:r>
          </w:p>
        </w:tc>
        <w:tc>
          <w:tcPr>
            <w:tcW w:w="1363"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投资含提标</w:t>
            </w:r>
          </w:p>
        </w:tc>
      </w:tr>
      <w:tr w:rsidTr="00967DA2">
        <w:tblPrEx>
          <w:tblW w:w="5000" w:type="pct"/>
          <w:jc w:val="center"/>
          <w:tblLook w:val="04A0"/>
        </w:tblPrEx>
        <w:trPr>
          <w:trHeight w:val="20"/>
          <w:jc w:val="center"/>
        </w:trPr>
        <w:tc>
          <w:tcPr>
            <w:tcW w:w="219" w:type="pct"/>
            <w:vAlign w:val="center"/>
          </w:tcPr>
          <w:p w:rsidR="00B373FD">
            <w:pPr>
              <w:pStyle w:val="Style52"/>
              <w:numPr>
                <w:ilvl w:val="0"/>
                <w:numId w:val="11"/>
              </w:numPr>
              <w:spacing w:line="240" w:lineRule="auto"/>
              <w:ind w:firstLineChars="0"/>
              <w:jc w:val="right"/>
              <w:rPr>
                <w:rFonts w:ascii="Times New Roman Regular" w:hAnsi="Times New Roman Regular" w:cs="Times New Roman Regular"/>
                <w:sz w:val="24"/>
                <w:szCs w:val="24"/>
              </w:rPr>
            </w:pPr>
          </w:p>
        </w:tc>
        <w:tc>
          <w:tcPr>
            <w:tcW w:w="1238" w:type="pct"/>
            <w:vAlign w:val="center"/>
          </w:tcPr>
          <w:p w:rsidR="00B373FD" w:rsidRPr="00C82635">
            <w:pPr>
              <w:spacing w:line="240" w:lineRule="auto"/>
              <w:ind w:left="-83" w:right="-131" w:leftChars="-26" w:rightChars="-41"/>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太仓市璜泾污水处理厂扩建工程</w:t>
            </w:r>
          </w:p>
        </w:tc>
        <w:tc>
          <w:tcPr>
            <w:tcW w:w="640"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水务集团</w:t>
            </w:r>
          </w:p>
        </w:tc>
        <w:tc>
          <w:tcPr>
            <w:tcW w:w="539"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sz w:val="24"/>
                <w:szCs w:val="24"/>
              </w:rPr>
              <w:t>1300</w:t>
            </w:r>
          </w:p>
        </w:tc>
        <w:tc>
          <w:tcPr>
            <w:tcW w:w="551"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开展中</w:t>
            </w:r>
          </w:p>
        </w:tc>
        <w:tc>
          <w:tcPr>
            <w:tcW w:w="449" w:type="pct"/>
            <w:vAlign w:val="center"/>
          </w:tcPr>
          <w:p w:rsidR="00B373FD" w:rsidRPr="00B21412">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rPr>
              <w:t>/</w:t>
            </w:r>
          </w:p>
        </w:tc>
        <w:tc>
          <w:tcPr>
            <w:tcW w:w="1363"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可研评审完成</w:t>
            </w:r>
          </w:p>
        </w:tc>
      </w:tr>
      <w:tr w:rsidTr="00967DA2">
        <w:tblPrEx>
          <w:tblW w:w="5000" w:type="pct"/>
          <w:jc w:val="center"/>
          <w:tblLook w:val="04A0"/>
        </w:tblPrEx>
        <w:trPr>
          <w:trHeight w:val="20"/>
          <w:jc w:val="center"/>
        </w:trPr>
        <w:tc>
          <w:tcPr>
            <w:tcW w:w="219" w:type="pct"/>
            <w:vAlign w:val="center"/>
          </w:tcPr>
          <w:p w:rsidR="00B373FD">
            <w:pPr>
              <w:pStyle w:val="Style52"/>
              <w:numPr>
                <w:ilvl w:val="0"/>
                <w:numId w:val="11"/>
              </w:numPr>
              <w:spacing w:line="240" w:lineRule="auto"/>
              <w:ind w:firstLineChars="0"/>
              <w:jc w:val="right"/>
              <w:rPr>
                <w:rFonts w:ascii="Times New Roman Regular" w:hAnsi="Times New Roman Regular" w:cs="Times New Roman Regular"/>
                <w:sz w:val="24"/>
                <w:szCs w:val="24"/>
              </w:rPr>
            </w:pPr>
          </w:p>
        </w:tc>
        <w:tc>
          <w:tcPr>
            <w:tcW w:w="1238" w:type="pct"/>
            <w:vAlign w:val="center"/>
          </w:tcPr>
          <w:p w:rsidR="00B373FD" w:rsidRPr="00C82635">
            <w:pPr>
              <w:spacing w:line="240" w:lineRule="auto"/>
              <w:ind w:left="-83" w:right="-131" w:leftChars="-26" w:rightChars="-41"/>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太仓市浏河污水处理厂扩建工程</w:t>
            </w:r>
          </w:p>
        </w:tc>
        <w:tc>
          <w:tcPr>
            <w:tcW w:w="640"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水务集团</w:t>
            </w:r>
          </w:p>
        </w:tc>
        <w:tc>
          <w:tcPr>
            <w:tcW w:w="539"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sz w:val="24"/>
                <w:szCs w:val="24"/>
              </w:rPr>
              <w:t>1300</w:t>
            </w:r>
          </w:p>
        </w:tc>
        <w:tc>
          <w:tcPr>
            <w:tcW w:w="551"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已完成</w:t>
            </w:r>
          </w:p>
        </w:tc>
        <w:tc>
          <w:tcPr>
            <w:tcW w:w="449"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sz w:val="24"/>
                <w:szCs w:val="24"/>
              </w:rPr>
              <w:t>11648.51</w:t>
            </w:r>
          </w:p>
        </w:tc>
        <w:tc>
          <w:tcPr>
            <w:tcW w:w="1363"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投资含提标</w:t>
            </w:r>
          </w:p>
        </w:tc>
      </w:tr>
      <w:tr w:rsidTr="00967DA2">
        <w:tblPrEx>
          <w:tblW w:w="5000" w:type="pct"/>
          <w:jc w:val="center"/>
          <w:tblLook w:val="04A0"/>
        </w:tblPrEx>
        <w:trPr>
          <w:trHeight w:val="20"/>
          <w:jc w:val="center"/>
        </w:trPr>
        <w:tc>
          <w:tcPr>
            <w:tcW w:w="219" w:type="pct"/>
            <w:vAlign w:val="center"/>
          </w:tcPr>
          <w:p w:rsidR="00B373FD">
            <w:pPr>
              <w:pStyle w:val="Style52"/>
              <w:numPr>
                <w:ilvl w:val="0"/>
                <w:numId w:val="11"/>
              </w:numPr>
              <w:spacing w:line="240" w:lineRule="auto"/>
              <w:ind w:firstLineChars="0"/>
              <w:jc w:val="right"/>
              <w:rPr>
                <w:rFonts w:ascii="Times New Roman Regular" w:hAnsi="Times New Roman Regular" w:cs="Times New Roman Regular"/>
                <w:sz w:val="24"/>
                <w:szCs w:val="24"/>
              </w:rPr>
            </w:pPr>
          </w:p>
        </w:tc>
        <w:tc>
          <w:tcPr>
            <w:tcW w:w="1238" w:type="pct"/>
            <w:vAlign w:val="center"/>
          </w:tcPr>
          <w:p w:rsidR="00B373FD" w:rsidRPr="00C82635">
            <w:pPr>
              <w:spacing w:line="240" w:lineRule="auto"/>
              <w:ind w:left="-83" w:right="-131" w:leftChars="-26" w:rightChars="-41"/>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企业节能减排升级改造</w:t>
            </w:r>
          </w:p>
        </w:tc>
        <w:tc>
          <w:tcPr>
            <w:tcW w:w="640"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太仓市</w:t>
            </w:r>
            <w:r w:rsidR="00C82635">
              <w:rPr>
                <w:rFonts w:ascii="Times New Roman Regular" w:eastAsia="宋体" w:hAnsi="Times New Roman Regular" w:cs="Times New Roman Regular" w:hint="eastAsia"/>
                <w:sz w:val="24"/>
                <w:szCs w:val="24"/>
              </w:rPr>
              <w:t>经信委、</w:t>
            </w:r>
            <w:r>
              <w:rPr>
                <w:rFonts w:ascii="Times New Roman Regular" w:eastAsia="宋体" w:hAnsi="Times New Roman Regular" w:cs="Times New Roman Regular" w:hint="eastAsia"/>
                <w:sz w:val="24"/>
                <w:szCs w:val="24"/>
              </w:rPr>
              <w:t>太仓生态环境局</w:t>
            </w:r>
          </w:p>
        </w:tc>
        <w:tc>
          <w:tcPr>
            <w:tcW w:w="539"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sz w:val="24"/>
                <w:szCs w:val="24"/>
              </w:rPr>
              <w:t>49127</w:t>
            </w:r>
          </w:p>
        </w:tc>
        <w:tc>
          <w:tcPr>
            <w:tcW w:w="551"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已完成</w:t>
            </w:r>
          </w:p>
        </w:tc>
        <w:tc>
          <w:tcPr>
            <w:tcW w:w="449" w:type="pct"/>
            <w:vAlign w:val="center"/>
          </w:tcPr>
          <w:p w:rsidR="00B373FD" w:rsidRPr="00B21412">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sz w:val="24"/>
                <w:szCs w:val="24"/>
              </w:rPr>
              <w:t>49127</w:t>
            </w:r>
          </w:p>
        </w:tc>
        <w:tc>
          <w:tcPr>
            <w:tcW w:w="1363" w:type="pct"/>
            <w:vAlign w:val="center"/>
          </w:tcPr>
          <w:p w:rsidR="00B373FD" w:rsidRPr="00483A03">
            <w:pPr>
              <w:spacing w:line="240" w:lineRule="auto"/>
              <w:jc w:val="center"/>
              <w:rPr>
                <w:rFonts w:ascii="Times New Roman Regular" w:eastAsia="宋体" w:hAnsi="Times New Roman Regular" w:cs="Times New Roman Regular"/>
                <w:sz w:val="24"/>
              </w:rPr>
            </w:pPr>
          </w:p>
        </w:tc>
      </w:tr>
      <w:tr w:rsidTr="00967DA2">
        <w:tblPrEx>
          <w:tblW w:w="5000" w:type="pct"/>
          <w:jc w:val="center"/>
          <w:tblLook w:val="04A0"/>
        </w:tblPrEx>
        <w:trPr>
          <w:trHeight w:val="20"/>
          <w:jc w:val="center"/>
        </w:trPr>
        <w:tc>
          <w:tcPr>
            <w:tcW w:w="219" w:type="pct"/>
            <w:vAlign w:val="center"/>
          </w:tcPr>
          <w:p w:rsidR="00B373FD">
            <w:pPr>
              <w:pStyle w:val="Style52"/>
              <w:numPr>
                <w:ilvl w:val="0"/>
                <w:numId w:val="11"/>
              </w:numPr>
              <w:spacing w:line="240" w:lineRule="auto"/>
              <w:ind w:firstLineChars="0"/>
              <w:jc w:val="right"/>
              <w:rPr>
                <w:rFonts w:ascii="Times New Roman Regular" w:hAnsi="Times New Roman Regular" w:cs="Times New Roman Regular"/>
                <w:sz w:val="24"/>
                <w:szCs w:val="24"/>
              </w:rPr>
            </w:pPr>
          </w:p>
        </w:tc>
        <w:tc>
          <w:tcPr>
            <w:tcW w:w="1238" w:type="pct"/>
            <w:vAlign w:val="center"/>
          </w:tcPr>
          <w:p w:rsidR="00B373FD" w:rsidRPr="00993048">
            <w:pPr>
              <w:spacing w:line="240" w:lineRule="auto"/>
              <w:ind w:left="-83" w:right="-131" w:leftChars="-26" w:rightChars="-41"/>
              <w:jc w:val="center"/>
              <w:rPr>
                <w:rFonts w:ascii="Times New Roman Regular" w:eastAsia="宋体" w:hAnsi="Times New Roman Regular" w:cs="Times New Roman Regular"/>
                <w:sz w:val="24"/>
              </w:rPr>
            </w:pPr>
            <w:r w:rsidRPr="00993048">
              <w:rPr>
                <w:rFonts w:ascii="Times New Roman Regular" w:eastAsia="宋体" w:hAnsi="Times New Roman Regular" w:cs="Times New Roman Regular" w:hint="eastAsia"/>
                <w:sz w:val="24"/>
                <w:szCs w:val="24"/>
              </w:rPr>
              <w:t>双凤五金机电（电镀）作业区污水厂接管改造</w:t>
            </w:r>
          </w:p>
        </w:tc>
        <w:tc>
          <w:tcPr>
            <w:tcW w:w="640" w:type="pct"/>
            <w:vAlign w:val="center"/>
          </w:tcPr>
          <w:p w:rsidR="00B373FD" w:rsidRPr="00993048">
            <w:pPr>
              <w:spacing w:line="240" w:lineRule="auto"/>
              <w:jc w:val="center"/>
              <w:rPr>
                <w:rFonts w:ascii="Times New Roman Regular" w:eastAsia="宋体" w:hAnsi="Times New Roman Regular" w:cs="Times New Roman Regular"/>
                <w:sz w:val="24"/>
              </w:rPr>
            </w:pPr>
            <w:r w:rsidRPr="00993048">
              <w:rPr>
                <w:rFonts w:ascii="Times New Roman Regular" w:eastAsia="宋体" w:hAnsi="Times New Roman Regular" w:cs="Times New Roman Regular" w:hint="eastAsia"/>
                <w:sz w:val="24"/>
                <w:szCs w:val="24"/>
              </w:rPr>
              <w:t>双凤镇</w:t>
            </w:r>
          </w:p>
        </w:tc>
        <w:tc>
          <w:tcPr>
            <w:tcW w:w="539" w:type="pct"/>
            <w:vAlign w:val="center"/>
          </w:tcPr>
          <w:p w:rsidR="00B373FD" w:rsidRPr="00993048">
            <w:pPr>
              <w:spacing w:line="240" w:lineRule="auto"/>
              <w:jc w:val="center"/>
              <w:rPr>
                <w:rFonts w:ascii="Times New Roman Regular" w:eastAsia="宋体" w:hAnsi="Times New Roman Regular" w:cs="Times New Roman Regular"/>
                <w:sz w:val="24"/>
              </w:rPr>
            </w:pPr>
            <w:r w:rsidRPr="00993048">
              <w:rPr>
                <w:rFonts w:ascii="Times New Roman Regular" w:eastAsia="宋体" w:hAnsi="Times New Roman Regular" w:cs="Times New Roman Regular"/>
                <w:sz w:val="24"/>
                <w:szCs w:val="24"/>
              </w:rPr>
              <w:t>100</w:t>
            </w:r>
          </w:p>
        </w:tc>
        <w:tc>
          <w:tcPr>
            <w:tcW w:w="551" w:type="pct"/>
            <w:vAlign w:val="center"/>
          </w:tcPr>
          <w:p w:rsidR="00B373FD" w:rsidRPr="00993048">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sz w:val="24"/>
              </w:rPr>
              <w:t>已完成</w:t>
            </w:r>
          </w:p>
        </w:tc>
        <w:tc>
          <w:tcPr>
            <w:tcW w:w="449" w:type="pct"/>
            <w:vAlign w:val="center"/>
          </w:tcPr>
          <w:p w:rsidR="00B373FD" w:rsidRPr="00993048">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rPr>
              <w:t>2</w:t>
            </w:r>
            <w:r>
              <w:rPr>
                <w:rFonts w:ascii="Times New Roman Regular" w:eastAsia="宋体" w:hAnsi="Times New Roman Regular" w:cs="Times New Roman Regular"/>
                <w:sz w:val="24"/>
              </w:rPr>
              <w:t>000</w:t>
            </w:r>
          </w:p>
        </w:tc>
        <w:tc>
          <w:tcPr>
            <w:tcW w:w="1363" w:type="pct"/>
            <w:vAlign w:val="center"/>
          </w:tcPr>
          <w:p w:rsidR="00B373FD" w:rsidRPr="00993048">
            <w:pPr>
              <w:spacing w:line="240" w:lineRule="auto"/>
              <w:jc w:val="center"/>
              <w:rPr>
                <w:rFonts w:ascii="Times New Roman Regular" w:eastAsia="宋体" w:hAnsi="Times New Roman Regular" w:cs="Times New Roman Regular"/>
                <w:sz w:val="24"/>
              </w:rPr>
            </w:pPr>
          </w:p>
        </w:tc>
      </w:tr>
      <w:tr w:rsidTr="00967DA2">
        <w:tblPrEx>
          <w:tblW w:w="5000" w:type="pct"/>
          <w:jc w:val="center"/>
          <w:tblLook w:val="04A0"/>
        </w:tblPrEx>
        <w:trPr>
          <w:trHeight w:val="20"/>
          <w:jc w:val="center"/>
        </w:trPr>
        <w:tc>
          <w:tcPr>
            <w:tcW w:w="219" w:type="pct"/>
            <w:vAlign w:val="center"/>
          </w:tcPr>
          <w:p w:rsidR="00B373FD">
            <w:pPr>
              <w:pStyle w:val="Style52"/>
              <w:numPr>
                <w:ilvl w:val="0"/>
                <w:numId w:val="11"/>
              </w:numPr>
              <w:spacing w:line="240" w:lineRule="auto"/>
              <w:ind w:firstLineChars="0"/>
              <w:jc w:val="right"/>
              <w:rPr>
                <w:rFonts w:ascii="Times New Roman Regular" w:hAnsi="Times New Roman Regular" w:cs="Times New Roman Regular"/>
                <w:sz w:val="24"/>
                <w:szCs w:val="24"/>
              </w:rPr>
            </w:pPr>
          </w:p>
        </w:tc>
        <w:tc>
          <w:tcPr>
            <w:tcW w:w="1238" w:type="pct"/>
            <w:vAlign w:val="center"/>
          </w:tcPr>
          <w:p w:rsidR="00B373FD" w:rsidRPr="00C82635">
            <w:pPr>
              <w:spacing w:line="240" w:lineRule="auto"/>
              <w:ind w:left="-83" w:right="-131" w:leftChars="-26" w:rightChars="-41"/>
              <w:jc w:val="center"/>
              <w:rPr>
                <w:rFonts w:ascii="Times New Roman Regular" w:eastAsia="宋体" w:hAnsi="Times New Roman Regular" w:cs="Times New Roman Regular"/>
                <w:sz w:val="24"/>
              </w:rPr>
            </w:pPr>
            <w:r w:rsidRPr="00993048">
              <w:rPr>
                <w:rFonts w:ascii="Times New Roman Regular" w:eastAsia="宋体" w:hAnsi="Times New Roman Regular" w:cs="Times New Roman Regular" w:hint="eastAsia"/>
                <w:sz w:val="24"/>
                <w:szCs w:val="24"/>
              </w:rPr>
              <w:t>太仓市月生电镀有限公司废水处理设施改造项目</w:t>
            </w:r>
          </w:p>
        </w:tc>
        <w:tc>
          <w:tcPr>
            <w:tcW w:w="640"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沙溪镇</w:t>
            </w:r>
          </w:p>
        </w:tc>
        <w:tc>
          <w:tcPr>
            <w:tcW w:w="539"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sz w:val="24"/>
                <w:szCs w:val="24"/>
              </w:rPr>
              <w:t>400</w:t>
            </w:r>
          </w:p>
        </w:tc>
        <w:tc>
          <w:tcPr>
            <w:tcW w:w="551" w:type="pct"/>
            <w:vAlign w:val="center"/>
          </w:tcPr>
          <w:p w:rsidR="00B373FD" w:rsidRPr="00B21412">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sz w:val="24"/>
              </w:rPr>
              <w:t>已完成</w:t>
            </w:r>
          </w:p>
        </w:tc>
        <w:tc>
          <w:tcPr>
            <w:tcW w:w="449" w:type="pct"/>
            <w:vAlign w:val="center"/>
          </w:tcPr>
          <w:p w:rsidR="00B373FD" w:rsidRPr="00483A03">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rPr>
              <w:t>4</w:t>
            </w:r>
            <w:r>
              <w:rPr>
                <w:rFonts w:ascii="Times New Roman Regular" w:eastAsia="宋体" w:hAnsi="Times New Roman Regular" w:cs="Times New Roman Regular"/>
                <w:sz w:val="24"/>
              </w:rPr>
              <w:t>00</w:t>
            </w:r>
          </w:p>
        </w:tc>
        <w:tc>
          <w:tcPr>
            <w:tcW w:w="1363" w:type="pct"/>
            <w:vAlign w:val="center"/>
          </w:tcPr>
          <w:p w:rsidR="00B373FD" w:rsidRPr="00C82635">
            <w:pPr>
              <w:spacing w:line="240" w:lineRule="auto"/>
              <w:jc w:val="center"/>
              <w:rPr>
                <w:rFonts w:ascii="Times New Roman Regular" w:eastAsia="宋体" w:hAnsi="Times New Roman Regular" w:cs="Times New Roman Regular"/>
                <w:sz w:val="24"/>
              </w:rPr>
            </w:pPr>
          </w:p>
        </w:tc>
      </w:tr>
      <w:tr w:rsidTr="00967DA2">
        <w:tblPrEx>
          <w:tblW w:w="5000" w:type="pct"/>
          <w:jc w:val="center"/>
          <w:tblLook w:val="04A0"/>
        </w:tblPrEx>
        <w:trPr>
          <w:trHeight w:val="20"/>
          <w:jc w:val="center"/>
        </w:trPr>
        <w:tc>
          <w:tcPr>
            <w:tcW w:w="219" w:type="pct"/>
            <w:vAlign w:val="center"/>
          </w:tcPr>
          <w:p w:rsidR="00B373FD">
            <w:pPr>
              <w:pStyle w:val="Style52"/>
              <w:numPr>
                <w:ilvl w:val="0"/>
                <w:numId w:val="11"/>
              </w:numPr>
              <w:spacing w:line="240" w:lineRule="auto"/>
              <w:ind w:firstLineChars="0"/>
              <w:jc w:val="right"/>
              <w:rPr>
                <w:rFonts w:ascii="Times New Roman Regular" w:hAnsi="Times New Roman Regular" w:cs="Times New Roman Regular"/>
                <w:sz w:val="24"/>
                <w:szCs w:val="24"/>
              </w:rPr>
            </w:pPr>
          </w:p>
        </w:tc>
        <w:tc>
          <w:tcPr>
            <w:tcW w:w="1238" w:type="pct"/>
            <w:vAlign w:val="center"/>
          </w:tcPr>
          <w:p w:rsidR="00B373FD" w:rsidRPr="00C82635">
            <w:pPr>
              <w:spacing w:line="240" w:lineRule="auto"/>
              <w:ind w:left="-83" w:right="-131" w:leftChars="-26" w:rightChars="-41"/>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重点行业挥发性有机污染物防治工程</w:t>
            </w:r>
          </w:p>
        </w:tc>
        <w:tc>
          <w:tcPr>
            <w:tcW w:w="640"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太仓生态环境局</w:t>
            </w:r>
          </w:p>
        </w:tc>
        <w:tc>
          <w:tcPr>
            <w:tcW w:w="539"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sz w:val="24"/>
                <w:szCs w:val="24"/>
              </w:rPr>
              <w:t>/</w:t>
            </w:r>
          </w:p>
        </w:tc>
        <w:tc>
          <w:tcPr>
            <w:tcW w:w="551"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已完成</w:t>
            </w:r>
          </w:p>
        </w:tc>
        <w:tc>
          <w:tcPr>
            <w:tcW w:w="449"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sz w:val="24"/>
                <w:szCs w:val="24"/>
              </w:rPr>
              <w:t>/</w:t>
            </w:r>
          </w:p>
        </w:tc>
        <w:tc>
          <w:tcPr>
            <w:tcW w:w="1363" w:type="pct"/>
            <w:vAlign w:val="center"/>
          </w:tcPr>
          <w:p w:rsidR="00B373FD" w:rsidRPr="00B21412">
            <w:pPr>
              <w:spacing w:line="240" w:lineRule="auto"/>
              <w:jc w:val="center"/>
              <w:rPr>
                <w:rFonts w:ascii="Times New Roman Regular" w:eastAsia="宋体" w:hAnsi="Times New Roman Regular" w:cs="Times New Roman Regular"/>
                <w:sz w:val="24"/>
              </w:rPr>
            </w:pPr>
          </w:p>
        </w:tc>
      </w:tr>
      <w:tr w:rsidTr="00967DA2">
        <w:tblPrEx>
          <w:tblW w:w="5000" w:type="pct"/>
          <w:jc w:val="center"/>
          <w:tblLook w:val="04A0"/>
        </w:tblPrEx>
        <w:trPr>
          <w:trHeight w:val="20"/>
          <w:jc w:val="center"/>
        </w:trPr>
        <w:tc>
          <w:tcPr>
            <w:tcW w:w="219" w:type="pct"/>
            <w:vAlign w:val="center"/>
          </w:tcPr>
          <w:p w:rsidR="00B373FD">
            <w:pPr>
              <w:pStyle w:val="Style52"/>
              <w:numPr>
                <w:ilvl w:val="0"/>
                <w:numId w:val="11"/>
              </w:numPr>
              <w:spacing w:line="240" w:lineRule="auto"/>
              <w:ind w:firstLineChars="0"/>
              <w:jc w:val="right"/>
              <w:rPr>
                <w:rFonts w:ascii="Times New Roman Regular" w:hAnsi="Times New Roman Regular" w:cs="Times New Roman Regular"/>
                <w:sz w:val="24"/>
                <w:szCs w:val="24"/>
              </w:rPr>
            </w:pPr>
          </w:p>
        </w:tc>
        <w:tc>
          <w:tcPr>
            <w:tcW w:w="1238" w:type="pct"/>
            <w:vAlign w:val="center"/>
          </w:tcPr>
          <w:p w:rsidR="00B373FD" w:rsidRPr="00C82635">
            <w:pPr>
              <w:widowControl/>
              <w:spacing w:line="240" w:lineRule="auto"/>
              <w:jc w:val="center"/>
              <w:rPr>
                <w:rFonts w:ascii="Times New Roman Regular" w:eastAsia="宋体" w:hAnsi="Times New Roman Regular" w:cs="Times New Roman Regular"/>
                <w:color w:val="000000"/>
                <w:sz w:val="24"/>
              </w:rPr>
            </w:pPr>
            <w:r>
              <w:rPr>
                <w:rFonts w:ascii="Times New Roman Regular" w:eastAsia="宋体" w:hAnsi="Times New Roman Regular" w:cs="Times New Roman Regular" w:hint="eastAsia"/>
                <w:color w:val="000000"/>
                <w:sz w:val="24"/>
                <w:szCs w:val="24"/>
              </w:rPr>
              <w:t>太仓秸秆资源化综合利用工程</w:t>
            </w:r>
          </w:p>
        </w:tc>
        <w:tc>
          <w:tcPr>
            <w:tcW w:w="640"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城厢镇</w:t>
            </w:r>
          </w:p>
        </w:tc>
        <w:tc>
          <w:tcPr>
            <w:tcW w:w="539" w:type="pct"/>
            <w:vAlign w:val="center"/>
          </w:tcPr>
          <w:p w:rsidR="00B373FD" w:rsidRPr="00C82635">
            <w:pPr>
              <w:widowControl/>
              <w:spacing w:line="240" w:lineRule="auto"/>
              <w:jc w:val="center"/>
              <w:rPr>
                <w:rFonts w:ascii="Times New Roman Regular" w:eastAsia="宋体" w:hAnsi="Times New Roman Regular" w:cs="Times New Roman Regular"/>
                <w:color w:val="000000"/>
                <w:sz w:val="24"/>
              </w:rPr>
            </w:pPr>
            <w:r>
              <w:rPr>
                <w:rFonts w:ascii="Times New Roman Regular" w:eastAsia="宋体" w:hAnsi="Times New Roman Regular" w:cs="Times New Roman Regular"/>
                <w:color w:val="000000"/>
                <w:sz w:val="24"/>
                <w:szCs w:val="24"/>
              </w:rPr>
              <w:t>2700</w:t>
            </w:r>
          </w:p>
        </w:tc>
        <w:tc>
          <w:tcPr>
            <w:tcW w:w="551"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已完成</w:t>
            </w:r>
          </w:p>
        </w:tc>
        <w:tc>
          <w:tcPr>
            <w:tcW w:w="449"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sz w:val="24"/>
                <w:szCs w:val="24"/>
              </w:rPr>
              <w:t>3434</w:t>
            </w:r>
          </w:p>
        </w:tc>
        <w:tc>
          <w:tcPr>
            <w:tcW w:w="1363" w:type="pct"/>
            <w:vAlign w:val="center"/>
          </w:tcPr>
          <w:p w:rsidR="00B373FD" w:rsidRPr="00B21412">
            <w:pPr>
              <w:spacing w:line="240" w:lineRule="auto"/>
              <w:jc w:val="center"/>
              <w:rPr>
                <w:rFonts w:ascii="Times New Roman Regular" w:eastAsia="宋体" w:hAnsi="Times New Roman Regular" w:cs="Times New Roman Regular"/>
                <w:sz w:val="24"/>
              </w:rPr>
            </w:pPr>
          </w:p>
        </w:tc>
      </w:tr>
      <w:tr w:rsidTr="00967DA2">
        <w:tblPrEx>
          <w:tblW w:w="5000" w:type="pct"/>
          <w:jc w:val="center"/>
          <w:tblLook w:val="04A0"/>
        </w:tblPrEx>
        <w:trPr>
          <w:trHeight w:val="20"/>
          <w:jc w:val="center"/>
        </w:trPr>
        <w:tc>
          <w:tcPr>
            <w:tcW w:w="219" w:type="pct"/>
            <w:vAlign w:val="center"/>
          </w:tcPr>
          <w:p w:rsidR="00B373FD">
            <w:pPr>
              <w:pStyle w:val="Style52"/>
              <w:numPr>
                <w:ilvl w:val="0"/>
                <w:numId w:val="11"/>
              </w:numPr>
              <w:spacing w:line="240" w:lineRule="auto"/>
              <w:ind w:firstLineChars="0"/>
              <w:jc w:val="right"/>
              <w:rPr>
                <w:rFonts w:ascii="Times New Roman Regular" w:hAnsi="Times New Roman Regular" w:cs="Times New Roman Regular"/>
                <w:sz w:val="24"/>
                <w:szCs w:val="24"/>
              </w:rPr>
            </w:pPr>
          </w:p>
        </w:tc>
        <w:tc>
          <w:tcPr>
            <w:tcW w:w="1238" w:type="pct"/>
            <w:vAlign w:val="center"/>
          </w:tcPr>
          <w:p w:rsidR="00B373FD" w:rsidRPr="00C82635">
            <w:pPr>
              <w:spacing w:line="240" w:lineRule="auto"/>
              <w:ind w:left="-83" w:right="-131" w:leftChars="-26" w:rightChars="-41"/>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国土绿化行动工程</w:t>
            </w:r>
          </w:p>
        </w:tc>
        <w:tc>
          <w:tcPr>
            <w:tcW w:w="640"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太仓市</w:t>
            </w:r>
            <w:r w:rsidR="00C82635">
              <w:rPr>
                <w:rFonts w:ascii="Times New Roman Regular" w:eastAsia="宋体" w:hAnsi="Times New Roman Regular" w:cs="Times New Roman Regular" w:hint="eastAsia"/>
                <w:sz w:val="24"/>
                <w:szCs w:val="24"/>
              </w:rPr>
              <w:t>农业农村局</w:t>
            </w:r>
          </w:p>
        </w:tc>
        <w:tc>
          <w:tcPr>
            <w:tcW w:w="539"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sz w:val="24"/>
                <w:szCs w:val="24"/>
              </w:rPr>
              <w:t>3600</w:t>
            </w:r>
          </w:p>
        </w:tc>
        <w:tc>
          <w:tcPr>
            <w:tcW w:w="551"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已完成</w:t>
            </w:r>
          </w:p>
        </w:tc>
        <w:tc>
          <w:tcPr>
            <w:tcW w:w="449"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sz w:val="24"/>
                <w:szCs w:val="24"/>
              </w:rPr>
              <w:t>3600</w:t>
            </w:r>
          </w:p>
        </w:tc>
        <w:tc>
          <w:tcPr>
            <w:tcW w:w="1363" w:type="pct"/>
            <w:vAlign w:val="center"/>
          </w:tcPr>
          <w:p w:rsidR="00B373FD" w:rsidRPr="00B21412">
            <w:pPr>
              <w:spacing w:line="240" w:lineRule="auto"/>
              <w:jc w:val="center"/>
              <w:rPr>
                <w:rFonts w:ascii="Times New Roman Regular" w:eastAsia="宋体" w:hAnsi="Times New Roman Regular" w:cs="Times New Roman Regular"/>
                <w:sz w:val="24"/>
              </w:rPr>
            </w:pPr>
          </w:p>
        </w:tc>
      </w:tr>
      <w:tr w:rsidTr="00967DA2">
        <w:tblPrEx>
          <w:tblW w:w="5000" w:type="pct"/>
          <w:jc w:val="center"/>
          <w:tblLook w:val="04A0"/>
        </w:tblPrEx>
        <w:trPr>
          <w:trHeight w:val="20"/>
          <w:jc w:val="center"/>
        </w:trPr>
        <w:tc>
          <w:tcPr>
            <w:tcW w:w="219" w:type="pct"/>
            <w:vAlign w:val="center"/>
          </w:tcPr>
          <w:p w:rsidR="00B373FD">
            <w:pPr>
              <w:pStyle w:val="Style52"/>
              <w:numPr>
                <w:ilvl w:val="0"/>
                <w:numId w:val="11"/>
              </w:numPr>
              <w:spacing w:line="240" w:lineRule="auto"/>
              <w:ind w:firstLineChars="0"/>
              <w:jc w:val="right"/>
              <w:rPr>
                <w:rFonts w:ascii="Times New Roman Regular" w:hAnsi="Times New Roman Regular" w:cs="Times New Roman Regular"/>
                <w:sz w:val="24"/>
                <w:szCs w:val="24"/>
              </w:rPr>
            </w:pPr>
          </w:p>
        </w:tc>
        <w:tc>
          <w:tcPr>
            <w:tcW w:w="1238" w:type="pct"/>
            <w:vAlign w:val="center"/>
          </w:tcPr>
          <w:p w:rsidR="00B373FD" w:rsidRPr="00C82635">
            <w:pPr>
              <w:spacing w:line="240" w:lineRule="auto"/>
              <w:ind w:left="-83" w:right="-131" w:leftChars="-26" w:rightChars="-41"/>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双凤生态湿地恢复项目</w:t>
            </w:r>
          </w:p>
        </w:tc>
        <w:tc>
          <w:tcPr>
            <w:tcW w:w="640"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双凤镇</w:t>
            </w:r>
          </w:p>
        </w:tc>
        <w:tc>
          <w:tcPr>
            <w:tcW w:w="539"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sz w:val="24"/>
                <w:szCs w:val="24"/>
              </w:rPr>
              <w:t>3450</w:t>
            </w:r>
          </w:p>
        </w:tc>
        <w:tc>
          <w:tcPr>
            <w:tcW w:w="551"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未开展</w:t>
            </w:r>
          </w:p>
        </w:tc>
        <w:tc>
          <w:tcPr>
            <w:tcW w:w="449" w:type="pct"/>
            <w:vAlign w:val="center"/>
          </w:tcPr>
          <w:p w:rsidR="00B373FD" w:rsidRPr="00B21412">
            <w:pPr>
              <w:spacing w:line="240" w:lineRule="auto"/>
              <w:jc w:val="center"/>
              <w:rPr>
                <w:rFonts w:ascii="Times New Roman Regular" w:eastAsia="宋体" w:hAnsi="Times New Roman Regular" w:cs="Times New Roman Regular"/>
                <w:sz w:val="24"/>
              </w:rPr>
            </w:pPr>
          </w:p>
        </w:tc>
        <w:tc>
          <w:tcPr>
            <w:tcW w:w="1363"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因土地原因未建设</w:t>
            </w:r>
          </w:p>
        </w:tc>
      </w:tr>
      <w:tr w:rsidTr="00967DA2">
        <w:tblPrEx>
          <w:tblW w:w="5000" w:type="pct"/>
          <w:jc w:val="center"/>
          <w:tblLook w:val="04A0"/>
        </w:tblPrEx>
        <w:trPr>
          <w:trHeight w:val="20"/>
          <w:jc w:val="center"/>
        </w:trPr>
        <w:tc>
          <w:tcPr>
            <w:tcW w:w="219" w:type="pct"/>
            <w:vAlign w:val="center"/>
          </w:tcPr>
          <w:p w:rsidR="00B373FD">
            <w:pPr>
              <w:pStyle w:val="Style52"/>
              <w:numPr>
                <w:ilvl w:val="0"/>
                <w:numId w:val="11"/>
              </w:numPr>
              <w:spacing w:line="240" w:lineRule="auto"/>
              <w:ind w:firstLineChars="0"/>
              <w:jc w:val="right"/>
              <w:rPr>
                <w:rFonts w:ascii="Times New Roman Regular" w:hAnsi="Times New Roman Regular" w:cs="Times New Roman Regular"/>
                <w:sz w:val="24"/>
                <w:szCs w:val="24"/>
              </w:rPr>
            </w:pPr>
          </w:p>
        </w:tc>
        <w:tc>
          <w:tcPr>
            <w:tcW w:w="1238" w:type="pct"/>
            <w:vAlign w:val="center"/>
          </w:tcPr>
          <w:p w:rsidR="00B373FD" w:rsidRPr="00C82635">
            <w:pPr>
              <w:spacing w:line="240" w:lineRule="auto"/>
              <w:ind w:left="-83" w:right="-131" w:leftChars="-26" w:rightChars="-41"/>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独溇小海湿地恢复项目</w:t>
            </w:r>
          </w:p>
        </w:tc>
        <w:tc>
          <w:tcPr>
            <w:tcW w:w="640"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城厢镇</w:t>
            </w:r>
          </w:p>
        </w:tc>
        <w:tc>
          <w:tcPr>
            <w:tcW w:w="539"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sz w:val="24"/>
                <w:szCs w:val="24"/>
              </w:rPr>
              <w:t>800</w:t>
            </w:r>
          </w:p>
        </w:tc>
        <w:tc>
          <w:tcPr>
            <w:tcW w:w="551"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已完成</w:t>
            </w:r>
          </w:p>
        </w:tc>
        <w:tc>
          <w:tcPr>
            <w:tcW w:w="449"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sz w:val="24"/>
                <w:szCs w:val="24"/>
              </w:rPr>
              <w:t>800</w:t>
            </w:r>
          </w:p>
        </w:tc>
        <w:tc>
          <w:tcPr>
            <w:tcW w:w="1363"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木桩护坡</w:t>
            </w:r>
            <w:r>
              <w:rPr>
                <w:rFonts w:ascii="Times New Roman Regular" w:eastAsia="宋体" w:hAnsi="Times New Roman Regular" w:cs="Times New Roman Regular" w:hint="eastAsia"/>
                <w:sz w:val="24"/>
                <w:szCs w:val="24"/>
              </w:rPr>
              <w:t>8000</w:t>
            </w:r>
            <w:r>
              <w:rPr>
                <w:rFonts w:ascii="Times New Roman Regular" w:eastAsia="宋体" w:hAnsi="Times New Roman Regular" w:cs="Times New Roman Regular" w:hint="eastAsia"/>
                <w:sz w:val="24"/>
                <w:szCs w:val="24"/>
              </w:rPr>
              <w:t>米（已完成，实际</w:t>
            </w:r>
            <w:r>
              <w:rPr>
                <w:rFonts w:ascii="Times New Roman Regular" w:eastAsia="宋体" w:hAnsi="Times New Roman Regular" w:cs="Times New Roman Regular" w:hint="eastAsia"/>
                <w:sz w:val="24"/>
                <w:szCs w:val="24"/>
              </w:rPr>
              <w:t>6900</w:t>
            </w:r>
            <w:r>
              <w:rPr>
                <w:rFonts w:ascii="Times New Roman Regular" w:eastAsia="宋体" w:hAnsi="Times New Roman Regular" w:cs="Times New Roman Regular" w:hint="eastAsia"/>
                <w:sz w:val="24"/>
                <w:szCs w:val="24"/>
              </w:rPr>
              <w:t>米），水生花卉</w:t>
            </w:r>
            <w:r>
              <w:rPr>
                <w:rFonts w:ascii="Times New Roman Regular" w:eastAsia="宋体" w:hAnsi="Times New Roman Regular" w:cs="Times New Roman Regular" w:hint="eastAsia"/>
                <w:sz w:val="24"/>
                <w:szCs w:val="24"/>
              </w:rPr>
              <w:t>3000</w:t>
            </w:r>
            <w:r>
              <w:rPr>
                <w:rFonts w:ascii="Times New Roman Regular" w:eastAsia="宋体" w:hAnsi="Times New Roman Regular" w:cs="Times New Roman Regular" w:hint="eastAsia"/>
                <w:sz w:val="24"/>
                <w:szCs w:val="24"/>
              </w:rPr>
              <w:t>米（已完成，实际</w:t>
            </w:r>
            <w:r>
              <w:rPr>
                <w:rFonts w:ascii="Times New Roman Regular" w:eastAsia="宋体" w:hAnsi="Times New Roman Regular" w:cs="Times New Roman Regular" w:hint="eastAsia"/>
                <w:sz w:val="24"/>
                <w:szCs w:val="24"/>
              </w:rPr>
              <w:t>3100</w:t>
            </w:r>
            <w:r>
              <w:rPr>
                <w:rFonts w:ascii="Times New Roman Regular" w:eastAsia="宋体" w:hAnsi="Times New Roman Regular" w:cs="Times New Roman Regular" w:hint="eastAsia"/>
                <w:sz w:val="24"/>
                <w:szCs w:val="24"/>
              </w:rPr>
              <w:t>米），岸坡绿化</w:t>
            </w:r>
            <w:r>
              <w:rPr>
                <w:rFonts w:ascii="Times New Roman Regular" w:eastAsia="宋体" w:hAnsi="Times New Roman Regular" w:cs="Times New Roman Regular" w:hint="eastAsia"/>
                <w:sz w:val="24"/>
                <w:szCs w:val="24"/>
              </w:rPr>
              <w:t>30000</w:t>
            </w:r>
            <w:r>
              <w:rPr>
                <w:rFonts w:ascii="Times New Roman Regular" w:eastAsia="宋体" w:hAnsi="Times New Roman Regular" w:cs="Times New Roman Regular" w:hint="eastAsia"/>
                <w:sz w:val="24"/>
                <w:szCs w:val="24"/>
              </w:rPr>
              <w:t>平方已完成，清淤</w:t>
            </w:r>
            <w:r>
              <w:rPr>
                <w:rFonts w:ascii="Times New Roman Regular" w:eastAsia="宋体" w:hAnsi="Times New Roman Regular" w:cs="Times New Roman Regular" w:hint="eastAsia"/>
                <w:sz w:val="24"/>
                <w:szCs w:val="24"/>
              </w:rPr>
              <w:t>30</w:t>
            </w:r>
            <w:r>
              <w:rPr>
                <w:rFonts w:ascii="Times New Roman Regular" w:eastAsia="宋体" w:hAnsi="Times New Roman Regular" w:cs="Times New Roman Regular" w:hint="eastAsia"/>
                <w:sz w:val="24"/>
                <w:szCs w:val="24"/>
              </w:rPr>
              <w:t>万方已完成，木栈道建设</w:t>
            </w:r>
            <w:r>
              <w:rPr>
                <w:rFonts w:ascii="Times New Roman Regular" w:eastAsia="宋体" w:hAnsi="Times New Roman Regular" w:cs="Times New Roman Regular" w:hint="eastAsia"/>
                <w:sz w:val="24"/>
                <w:szCs w:val="24"/>
              </w:rPr>
              <w:t>4000</w:t>
            </w:r>
            <w:r>
              <w:rPr>
                <w:rFonts w:ascii="Times New Roman Regular" w:eastAsia="宋体" w:hAnsi="Times New Roman Regular" w:cs="Times New Roman Regular" w:hint="eastAsia"/>
                <w:sz w:val="24"/>
                <w:szCs w:val="24"/>
              </w:rPr>
              <w:t>米已完成</w:t>
            </w:r>
          </w:p>
        </w:tc>
      </w:tr>
      <w:tr w:rsidTr="00967DA2">
        <w:tblPrEx>
          <w:tblW w:w="5000" w:type="pct"/>
          <w:jc w:val="center"/>
          <w:tblLook w:val="04A0"/>
        </w:tblPrEx>
        <w:trPr>
          <w:trHeight w:val="20"/>
          <w:jc w:val="center"/>
        </w:trPr>
        <w:tc>
          <w:tcPr>
            <w:tcW w:w="219" w:type="pct"/>
            <w:vAlign w:val="center"/>
          </w:tcPr>
          <w:p w:rsidR="00B373FD">
            <w:pPr>
              <w:pStyle w:val="Style52"/>
              <w:numPr>
                <w:ilvl w:val="0"/>
                <w:numId w:val="11"/>
              </w:numPr>
              <w:spacing w:line="240" w:lineRule="auto"/>
              <w:ind w:firstLineChars="0"/>
              <w:jc w:val="right"/>
              <w:rPr>
                <w:rFonts w:ascii="Times New Roman Regular" w:hAnsi="Times New Roman Regular" w:cs="Times New Roman Regular"/>
                <w:sz w:val="24"/>
                <w:szCs w:val="24"/>
              </w:rPr>
            </w:pPr>
          </w:p>
        </w:tc>
        <w:tc>
          <w:tcPr>
            <w:tcW w:w="1238" w:type="pct"/>
            <w:vAlign w:val="center"/>
          </w:tcPr>
          <w:p w:rsidR="00B373FD">
            <w:pPr>
              <w:pStyle w:val="Default"/>
              <w:jc w:val="center"/>
              <w:rPr>
                <w:rFonts w:ascii="Times New Roman Regular" w:eastAsia="宋体" w:hAnsi="Times New Roman Regular" w:cs="Times New Roman Regular"/>
                <w:color w:val="auto"/>
              </w:rPr>
            </w:pPr>
            <w:r>
              <w:rPr>
                <w:rFonts w:ascii="Times New Roman Regular" w:eastAsia="宋体" w:hAnsi="Times New Roman Regular" w:cs="Times New Roman Regular" w:hint="eastAsia"/>
                <w:color w:val="auto"/>
              </w:rPr>
              <w:t>盐铁塘湿地公园提档改造及绿道系统贯通工程</w:t>
            </w:r>
            <w:r>
              <w:rPr>
                <w:rFonts w:ascii="Times New Roman Regular" w:eastAsia="宋体" w:hAnsi="Times New Roman Regular" w:cs="Times New Roman Regular" w:hint="eastAsia"/>
                <w:color w:val="auto"/>
              </w:rPr>
              <w:t xml:space="preserve"> </w:t>
            </w:r>
          </w:p>
        </w:tc>
        <w:tc>
          <w:tcPr>
            <w:tcW w:w="640"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太仓市</w:t>
            </w:r>
            <w:r w:rsidR="00C82635">
              <w:rPr>
                <w:rFonts w:ascii="Times New Roman Regular" w:eastAsia="宋体" w:hAnsi="Times New Roman Regular" w:cs="Times New Roman Regular" w:hint="eastAsia"/>
                <w:sz w:val="24"/>
                <w:szCs w:val="24"/>
              </w:rPr>
              <w:t>住建局</w:t>
            </w:r>
          </w:p>
        </w:tc>
        <w:tc>
          <w:tcPr>
            <w:tcW w:w="539"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sz w:val="24"/>
                <w:szCs w:val="24"/>
              </w:rPr>
              <w:t>2400</w:t>
            </w:r>
          </w:p>
        </w:tc>
        <w:tc>
          <w:tcPr>
            <w:tcW w:w="551"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已完成</w:t>
            </w:r>
          </w:p>
        </w:tc>
        <w:tc>
          <w:tcPr>
            <w:tcW w:w="449"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sz w:val="24"/>
                <w:szCs w:val="24"/>
              </w:rPr>
              <w:t>4000</w:t>
            </w:r>
          </w:p>
        </w:tc>
        <w:tc>
          <w:tcPr>
            <w:tcW w:w="1363" w:type="pct"/>
            <w:vAlign w:val="center"/>
          </w:tcPr>
          <w:p w:rsidR="00B373FD" w:rsidRPr="00B21412">
            <w:pPr>
              <w:spacing w:line="240" w:lineRule="auto"/>
              <w:jc w:val="center"/>
              <w:rPr>
                <w:rFonts w:ascii="Times New Roman Regular" w:eastAsia="宋体" w:hAnsi="Times New Roman Regular" w:cs="Times New Roman Regular"/>
                <w:sz w:val="24"/>
              </w:rPr>
            </w:pPr>
          </w:p>
        </w:tc>
      </w:tr>
      <w:tr w:rsidTr="00967DA2">
        <w:tblPrEx>
          <w:tblW w:w="5000" w:type="pct"/>
          <w:jc w:val="center"/>
          <w:tblLook w:val="04A0"/>
        </w:tblPrEx>
        <w:trPr>
          <w:trHeight w:val="20"/>
          <w:jc w:val="center"/>
        </w:trPr>
        <w:tc>
          <w:tcPr>
            <w:tcW w:w="219" w:type="pct"/>
            <w:vAlign w:val="center"/>
          </w:tcPr>
          <w:p w:rsidR="00B373FD">
            <w:pPr>
              <w:pStyle w:val="Style52"/>
              <w:numPr>
                <w:ilvl w:val="0"/>
                <w:numId w:val="11"/>
              </w:numPr>
              <w:spacing w:line="240" w:lineRule="auto"/>
              <w:ind w:firstLineChars="0"/>
              <w:jc w:val="right"/>
              <w:rPr>
                <w:rFonts w:ascii="Times New Roman Regular" w:hAnsi="Times New Roman Regular" w:cs="Times New Roman Regular"/>
                <w:sz w:val="24"/>
                <w:szCs w:val="24"/>
              </w:rPr>
            </w:pPr>
          </w:p>
        </w:tc>
        <w:tc>
          <w:tcPr>
            <w:tcW w:w="1238" w:type="pct"/>
            <w:vAlign w:val="center"/>
          </w:tcPr>
          <w:p w:rsidR="00B373FD" w:rsidRPr="00C82635">
            <w:pPr>
              <w:spacing w:line="240" w:lineRule="auto"/>
              <w:ind w:left="-83" w:right="-131" w:leftChars="-26" w:rightChars="-41"/>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美丽城镇建设工程</w:t>
            </w:r>
          </w:p>
        </w:tc>
        <w:tc>
          <w:tcPr>
            <w:tcW w:w="640"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太仓市</w:t>
            </w:r>
            <w:r w:rsidR="00C82635">
              <w:rPr>
                <w:rFonts w:ascii="Times New Roman Regular" w:eastAsia="宋体" w:hAnsi="Times New Roman Regular" w:cs="Times New Roman Regular" w:hint="eastAsia"/>
                <w:sz w:val="24"/>
                <w:szCs w:val="24"/>
              </w:rPr>
              <w:t>住建局</w:t>
            </w:r>
          </w:p>
        </w:tc>
        <w:tc>
          <w:tcPr>
            <w:tcW w:w="539"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sz w:val="24"/>
                <w:szCs w:val="24"/>
              </w:rPr>
              <w:t>17000</w:t>
            </w:r>
          </w:p>
        </w:tc>
        <w:tc>
          <w:tcPr>
            <w:tcW w:w="551"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已完成</w:t>
            </w:r>
          </w:p>
        </w:tc>
        <w:tc>
          <w:tcPr>
            <w:tcW w:w="449" w:type="pct"/>
            <w:vAlign w:val="center"/>
          </w:tcPr>
          <w:p w:rsidR="00B373FD" w:rsidRPr="00B21412">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sz w:val="24"/>
                <w:szCs w:val="24"/>
              </w:rPr>
              <w:t>17000</w:t>
            </w:r>
          </w:p>
        </w:tc>
        <w:tc>
          <w:tcPr>
            <w:tcW w:w="1363" w:type="pct"/>
            <w:vAlign w:val="center"/>
          </w:tcPr>
          <w:p w:rsidR="00B373FD" w:rsidRPr="00483A03">
            <w:pPr>
              <w:spacing w:line="240" w:lineRule="auto"/>
              <w:jc w:val="center"/>
              <w:rPr>
                <w:rFonts w:ascii="Times New Roman Regular" w:eastAsia="宋体" w:hAnsi="Times New Roman Regular" w:cs="Times New Roman Regular"/>
                <w:sz w:val="24"/>
              </w:rPr>
            </w:pPr>
          </w:p>
        </w:tc>
      </w:tr>
      <w:tr w:rsidTr="00967DA2">
        <w:tblPrEx>
          <w:tblW w:w="5000" w:type="pct"/>
          <w:jc w:val="center"/>
          <w:tblLook w:val="04A0"/>
        </w:tblPrEx>
        <w:trPr>
          <w:trHeight w:val="20"/>
          <w:jc w:val="center"/>
        </w:trPr>
        <w:tc>
          <w:tcPr>
            <w:tcW w:w="219" w:type="pct"/>
            <w:vAlign w:val="center"/>
          </w:tcPr>
          <w:p w:rsidR="00B373FD">
            <w:pPr>
              <w:pStyle w:val="Style52"/>
              <w:numPr>
                <w:ilvl w:val="0"/>
                <w:numId w:val="11"/>
              </w:numPr>
              <w:spacing w:line="240" w:lineRule="auto"/>
              <w:ind w:firstLineChars="0"/>
              <w:jc w:val="right"/>
              <w:rPr>
                <w:rFonts w:ascii="Times New Roman Regular" w:hAnsi="Times New Roman Regular" w:cs="Times New Roman Regular"/>
                <w:sz w:val="24"/>
                <w:szCs w:val="24"/>
              </w:rPr>
            </w:pPr>
          </w:p>
        </w:tc>
        <w:tc>
          <w:tcPr>
            <w:tcW w:w="1238" w:type="pct"/>
            <w:vAlign w:val="center"/>
          </w:tcPr>
          <w:p w:rsidR="00B373FD" w:rsidRPr="00993048">
            <w:pPr>
              <w:spacing w:line="240" w:lineRule="auto"/>
              <w:ind w:left="-83" w:right="-131" w:leftChars="-26" w:rightChars="-41"/>
              <w:jc w:val="center"/>
              <w:rPr>
                <w:rFonts w:ascii="Times New Roman Regular" w:eastAsia="宋体" w:hAnsi="Times New Roman Regular" w:cs="Times New Roman Regular"/>
                <w:sz w:val="24"/>
              </w:rPr>
            </w:pPr>
            <w:bookmarkStart w:id="74" w:name="_Toc436401365"/>
            <w:r w:rsidRPr="00993048">
              <w:rPr>
                <w:rFonts w:ascii="Times New Roman Regular" w:eastAsia="宋体" w:hAnsi="Times New Roman Regular" w:cs="Times New Roman Regular" w:hint="eastAsia"/>
                <w:sz w:val="24"/>
                <w:szCs w:val="24"/>
              </w:rPr>
              <w:t>双凤镇水域河道整治工程</w:t>
            </w:r>
            <w:bookmarkEnd w:id="74"/>
          </w:p>
        </w:tc>
        <w:tc>
          <w:tcPr>
            <w:tcW w:w="640" w:type="pct"/>
            <w:vAlign w:val="center"/>
          </w:tcPr>
          <w:p w:rsidR="00B373FD" w:rsidRPr="00993048">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太仓市</w:t>
            </w:r>
            <w:r w:rsidRPr="00993048" w:rsidR="00C82635">
              <w:rPr>
                <w:rFonts w:ascii="Times New Roman Regular" w:eastAsia="宋体" w:hAnsi="Times New Roman Regular" w:cs="Times New Roman Regular" w:hint="eastAsia"/>
                <w:sz w:val="24"/>
                <w:szCs w:val="24"/>
              </w:rPr>
              <w:t>水务局</w:t>
            </w:r>
          </w:p>
        </w:tc>
        <w:tc>
          <w:tcPr>
            <w:tcW w:w="539" w:type="pct"/>
            <w:vAlign w:val="center"/>
          </w:tcPr>
          <w:p w:rsidR="00B373FD" w:rsidRPr="00993048">
            <w:pPr>
              <w:spacing w:line="240" w:lineRule="auto"/>
              <w:jc w:val="center"/>
              <w:rPr>
                <w:rFonts w:ascii="Times New Roman Regular" w:eastAsia="宋体" w:hAnsi="Times New Roman Regular" w:cs="Times New Roman Regular"/>
                <w:sz w:val="24"/>
              </w:rPr>
            </w:pPr>
            <w:bookmarkStart w:id="75" w:name="_Toc436401368"/>
            <w:r w:rsidRPr="00993048">
              <w:rPr>
                <w:rFonts w:ascii="Times New Roman Regular" w:eastAsia="宋体" w:hAnsi="Times New Roman Regular" w:cs="Times New Roman Regular"/>
                <w:sz w:val="24"/>
                <w:szCs w:val="24"/>
              </w:rPr>
              <w:t>20000</w:t>
            </w:r>
            <w:bookmarkEnd w:id="75"/>
          </w:p>
        </w:tc>
        <w:tc>
          <w:tcPr>
            <w:tcW w:w="551" w:type="pct"/>
            <w:vAlign w:val="center"/>
          </w:tcPr>
          <w:p w:rsidR="00B373FD" w:rsidRPr="00993048">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sz w:val="24"/>
              </w:rPr>
              <w:t>已完成</w:t>
            </w:r>
          </w:p>
        </w:tc>
        <w:tc>
          <w:tcPr>
            <w:tcW w:w="449" w:type="pct"/>
            <w:vAlign w:val="center"/>
          </w:tcPr>
          <w:p w:rsidR="00B373FD" w:rsidRPr="00993048">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rPr>
              <w:t>2</w:t>
            </w:r>
            <w:r>
              <w:rPr>
                <w:rFonts w:ascii="Times New Roman Regular" w:eastAsia="宋体" w:hAnsi="Times New Roman Regular" w:cs="Times New Roman Regular"/>
                <w:sz w:val="24"/>
              </w:rPr>
              <w:t>0000</w:t>
            </w:r>
          </w:p>
        </w:tc>
        <w:tc>
          <w:tcPr>
            <w:tcW w:w="1363" w:type="pct"/>
            <w:vAlign w:val="center"/>
          </w:tcPr>
          <w:p w:rsidR="00B373FD" w:rsidRPr="00993048">
            <w:pPr>
              <w:spacing w:line="240" w:lineRule="auto"/>
              <w:jc w:val="center"/>
              <w:rPr>
                <w:rFonts w:ascii="Times New Roman Regular" w:eastAsia="宋体" w:hAnsi="Times New Roman Regular" w:cs="Times New Roman Regular"/>
                <w:sz w:val="24"/>
              </w:rPr>
            </w:pPr>
          </w:p>
        </w:tc>
      </w:tr>
      <w:tr w:rsidTr="00967DA2">
        <w:tblPrEx>
          <w:tblW w:w="5000" w:type="pct"/>
          <w:jc w:val="center"/>
          <w:tblLook w:val="04A0"/>
        </w:tblPrEx>
        <w:trPr>
          <w:trHeight w:val="20"/>
          <w:jc w:val="center"/>
        </w:trPr>
        <w:tc>
          <w:tcPr>
            <w:tcW w:w="219" w:type="pct"/>
            <w:vAlign w:val="center"/>
          </w:tcPr>
          <w:p w:rsidR="00967DA2" w:rsidP="00967DA2">
            <w:pPr>
              <w:pStyle w:val="Style52"/>
              <w:numPr>
                <w:ilvl w:val="0"/>
                <w:numId w:val="11"/>
              </w:numPr>
              <w:spacing w:line="240" w:lineRule="auto"/>
              <w:ind w:firstLineChars="0"/>
              <w:jc w:val="right"/>
              <w:rPr>
                <w:rFonts w:ascii="Times New Roman Regular" w:hAnsi="Times New Roman Regular" w:cs="Times New Roman Regular"/>
                <w:sz w:val="24"/>
                <w:szCs w:val="24"/>
              </w:rPr>
            </w:pPr>
          </w:p>
        </w:tc>
        <w:tc>
          <w:tcPr>
            <w:tcW w:w="1238" w:type="pct"/>
            <w:vAlign w:val="center"/>
          </w:tcPr>
          <w:p w:rsidR="00967DA2" w:rsidRPr="00C82635" w:rsidP="00967DA2">
            <w:pPr>
              <w:spacing w:line="240" w:lineRule="auto"/>
              <w:ind w:left="-83" w:right="-131" w:leftChars="-26" w:rightChars="-41"/>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沙溪镇农村生活污水治理工程</w:t>
            </w:r>
          </w:p>
        </w:tc>
        <w:tc>
          <w:tcPr>
            <w:tcW w:w="640" w:type="pct"/>
            <w:vAlign w:val="center"/>
          </w:tcPr>
          <w:p w:rsidR="00967DA2" w:rsidRPr="00C82635" w:rsidP="00967DA2">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沙溪镇</w:t>
            </w:r>
          </w:p>
        </w:tc>
        <w:tc>
          <w:tcPr>
            <w:tcW w:w="539" w:type="pct"/>
            <w:vAlign w:val="center"/>
          </w:tcPr>
          <w:p w:rsidR="00967DA2" w:rsidRPr="00C82635" w:rsidP="00967DA2">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sz w:val="24"/>
                <w:szCs w:val="24"/>
              </w:rPr>
              <w:t>600</w:t>
            </w:r>
          </w:p>
        </w:tc>
        <w:tc>
          <w:tcPr>
            <w:tcW w:w="551" w:type="pct"/>
            <w:vAlign w:val="center"/>
          </w:tcPr>
          <w:p w:rsidR="00967DA2" w:rsidRPr="00C82635" w:rsidP="00967DA2">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已完成</w:t>
            </w:r>
          </w:p>
        </w:tc>
        <w:tc>
          <w:tcPr>
            <w:tcW w:w="449" w:type="pct"/>
            <w:vAlign w:val="center"/>
          </w:tcPr>
          <w:p w:rsidR="00967DA2" w:rsidRPr="00B21412" w:rsidP="00967DA2">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sz w:val="24"/>
                <w:szCs w:val="24"/>
              </w:rPr>
              <w:t>600</w:t>
            </w:r>
          </w:p>
        </w:tc>
        <w:tc>
          <w:tcPr>
            <w:tcW w:w="1363" w:type="pct"/>
            <w:vAlign w:val="center"/>
          </w:tcPr>
          <w:p w:rsidR="00967DA2" w:rsidRPr="00483A03" w:rsidP="00967DA2">
            <w:pPr>
              <w:spacing w:line="240" w:lineRule="auto"/>
              <w:jc w:val="center"/>
              <w:rPr>
                <w:rFonts w:ascii="Times New Roman Regular" w:eastAsia="宋体" w:hAnsi="Times New Roman Regular" w:cs="Times New Roman Regular"/>
                <w:sz w:val="24"/>
              </w:rPr>
            </w:pPr>
          </w:p>
        </w:tc>
      </w:tr>
      <w:tr w:rsidTr="00967DA2">
        <w:tblPrEx>
          <w:tblW w:w="5000" w:type="pct"/>
          <w:jc w:val="center"/>
          <w:tblLook w:val="04A0"/>
        </w:tblPrEx>
        <w:trPr>
          <w:trHeight w:val="20"/>
          <w:jc w:val="center"/>
        </w:trPr>
        <w:tc>
          <w:tcPr>
            <w:tcW w:w="219" w:type="pct"/>
            <w:vAlign w:val="center"/>
          </w:tcPr>
          <w:p w:rsidR="00967DA2" w:rsidP="00967DA2">
            <w:pPr>
              <w:pStyle w:val="Style52"/>
              <w:numPr>
                <w:ilvl w:val="0"/>
                <w:numId w:val="11"/>
              </w:numPr>
              <w:spacing w:line="240" w:lineRule="auto"/>
              <w:ind w:firstLineChars="0"/>
              <w:jc w:val="right"/>
              <w:rPr>
                <w:rFonts w:ascii="Times New Roman Regular" w:hAnsi="Times New Roman Regular" w:cs="Times New Roman Regular"/>
                <w:sz w:val="24"/>
                <w:szCs w:val="24"/>
              </w:rPr>
            </w:pPr>
          </w:p>
        </w:tc>
        <w:tc>
          <w:tcPr>
            <w:tcW w:w="1238" w:type="pct"/>
            <w:vAlign w:val="center"/>
          </w:tcPr>
          <w:p w:rsidR="00967DA2" w:rsidRPr="00C82635" w:rsidP="00967DA2">
            <w:pPr>
              <w:spacing w:line="240" w:lineRule="auto"/>
              <w:ind w:left="-83" w:right="-131" w:leftChars="-26" w:rightChars="-41"/>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浮桥镇农村生活污水治理工程</w:t>
            </w:r>
          </w:p>
        </w:tc>
        <w:tc>
          <w:tcPr>
            <w:tcW w:w="640" w:type="pct"/>
            <w:vAlign w:val="center"/>
          </w:tcPr>
          <w:p w:rsidR="00967DA2" w:rsidRPr="00C82635" w:rsidP="00967DA2">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浮桥镇</w:t>
            </w:r>
          </w:p>
        </w:tc>
        <w:tc>
          <w:tcPr>
            <w:tcW w:w="539" w:type="pct"/>
            <w:vAlign w:val="center"/>
          </w:tcPr>
          <w:p w:rsidR="00967DA2" w:rsidRPr="00C82635" w:rsidP="00967DA2">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sz w:val="24"/>
                <w:szCs w:val="24"/>
              </w:rPr>
              <w:t>500</w:t>
            </w:r>
          </w:p>
        </w:tc>
        <w:tc>
          <w:tcPr>
            <w:tcW w:w="551" w:type="pct"/>
            <w:vAlign w:val="center"/>
          </w:tcPr>
          <w:p w:rsidR="00967DA2" w:rsidRPr="00C82635" w:rsidP="00967DA2">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已完成</w:t>
            </w:r>
          </w:p>
        </w:tc>
        <w:tc>
          <w:tcPr>
            <w:tcW w:w="449" w:type="pct"/>
            <w:vAlign w:val="center"/>
          </w:tcPr>
          <w:p w:rsidR="00967DA2" w:rsidRPr="00B21412" w:rsidP="00967DA2">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sz w:val="24"/>
                <w:szCs w:val="24"/>
              </w:rPr>
              <w:t>500</w:t>
            </w:r>
          </w:p>
        </w:tc>
        <w:tc>
          <w:tcPr>
            <w:tcW w:w="1363" w:type="pct"/>
            <w:vAlign w:val="center"/>
          </w:tcPr>
          <w:p w:rsidR="00967DA2" w:rsidRPr="00483A03" w:rsidP="00967DA2">
            <w:pPr>
              <w:spacing w:line="240" w:lineRule="auto"/>
              <w:jc w:val="center"/>
              <w:rPr>
                <w:rFonts w:ascii="Times New Roman Regular" w:eastAsia="宋体" w:hAnsi="Times New Roman Regular" w:cs="Times New Roman Regular"/>
                <w:sz w:val="24"/>
              </w:rPr>
            </w:pPr>
          </w:p>
        </w:tc>
      </w:tr>
      <w:tr w:rsidTr="00967DA2">
        <w:tblPrEx>
          <w:tblW w:w="5000" w:type="pct"/>
          <w:jc w:val="center"/>
          <w:tblLook w:val="04A0"/>
        </w:tblPrEx>
        <w:trPr>
          <w:trHeight w:val="20"/>
          <w:jc w:val="center"/>
        </w:trPr>
        <w:tc>
          <w:tcPr>
            <w:tcW w:w="219" w:type="pct"/>
            <w:vAlign w:val="center"/>
          </w:tcPr>
          <w:p w:rsidR="00967DA2" w:rsidP="00967DA2">
            <w:pPr>
              <w:pStyle w:val="Style52"/>
              <w:numPr>
                <w:ilvl w:val="0"/>
                <w:numId w:val="11"/>
              </w:numPr>
              <w:spacing w:line="240" w:lineRule="auto"/>
              <w:ind w:firstLineChars="0"/>
              <w:jc w:val="right"/>
              <w:rPr>
                <w:rFonts w:ascii="Times New Roman Regular" w:hAnsi="Times New Roman Regular" w:cs="Times New Roman Regular"/>
                <w:sz w:val="24"/>
                <w:szCs w:val="24"/>
              </w:rPr>
            </w:pPr>
          </w:p>
        </w:tc>
        <w:tc>
          <w:tcPr>
            <w:tcW w:w="1238" w:type="pct"/>
            <w:vAlign w:val="center"/>
          </w:tcPr>
          <w:p w:rsidR="00967DA2" w:rsidRPr="00C82635" w:rsidP="00967DA2">
            <w:pPr>
              <w:spacing w:line="240" w:lineRule="auto"/>
              <w:ind w:left="-83" w:right="-131" w:leftChars="-26" w:rightChars="-41"/>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浏河镇农村生活污水治理工程</w:t>
            </w:r>
          </w:p>
        </w:tc>
        <w:tc>
          <w:tcPr>
            <w:tcW w:w="640" w:type="pct"/>
            <w:vAlign w:val="center"/>
          </w:tcPr>
          <w:p w:rsidR="00967DA2" w:rsidRPr="00C82635" w:rsidP="00967DA2">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浏河镇</w:t>
            </w:r>
          </w:p>
        </w:tc>
        <w:tc>
          <w:tcPr>
            <w:tcW w:w="539" w:type="pct"/>
            <w:vAlign w:val="center"/>
          </w:tcPr>
          <w:p w:rsidR="00967DA2" w:rsidRPr="00C82635" w:rsidP="00967DA2">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sz w:val="24"/>
                <w:szCs w:val="24"/>
              </w:rPr>
              <w:t>300</w:t>
            </w:r>
          </w:p>
        </w:tc>
        <w:tc>
          <w:tcPr>
            <w:tcW w:w="551" w:type="pct"/>
            <w:vAlign w:val="center"/>
          </w:tcPr>
          <w:p w:rsidR="00967DA2" w:rsidRPr="00C82635" w:rsidP="00967DA2">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已完成</w:t>
            </w:r>
          </w:p>
        </w:tc>
        <w:tc>
          <w:tcPr>
            <w:tcW w:w="449" w:type="pct"/>
            <w:vAlign w:val="center"/>
          </w:tcPr>
          <w:p w:rsidR="00967DA2" w:rsidRPr="00B21412" w:rsidP="00967DA2">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sz w:val="24"/>
                <w:szCs w:val="24"/>
              </w:rPr>
              <w:t>300</w:t>
            </w:r>
          </w:p>
        </w:tc>
        <w:tc>
          <w:tcPr>
            <w:tcW w:w="1363" w:type="pct"/>
            <w:vAlign w:val="center"/>
          </w:tcPr>
          <w:p w:rsidR="00967DA2" w:rsidRPr="00483A03" w:rsidP="00967DA2">
            <w:pPr>
              <w:spacing w:line="240" w:lineRule="auto"/>
              <w:jc w:val="center"/>
              <w:rPr>
                <w:rFonts w:ascii="Times New Roman Regular" w:eastAsia="宋体" w:hAnsi="Times New Roman Regular" w:cs="Times New Roman Regular"/>
                <w:sz w:val="24"/>
              </w:rPr>
            </w:pPr>
          </w:p>
        </w:tc>
      </w:tr>
      <w:tr w:rsidTr="00967DA2">
        <w:tblPrEx>
          <w:tblW w:w="5000" w:type="pct"/>
          <w:jc w:val="center"/>
          <w:tblLook w:val="04A0"/>
        </w:tblPrEx>
        <w:trPr>
          <w:trHeight w:val="20"/>
          <w:jc w:val="center"/>
        </w:trPr>
        <w:tc>
          <w:tcPr>
            <w:tcW w:w="219" w:type="pct"/>
            <w:vAlign w:val="center"/>
          </w:tcPr>
          <w:p w:rsidR="00967DA2" w:rsidP="00967DA2">
            <w:pPr>
              <w:pStyle w:val="Style52"/>
              <w:numPr>
                <w:ilvl w:val="0"/>
                <w:numId w:val="11"/>
              </w:numPr>
              <w:spacing w:line="240" w:lineRule="auto"/>
              <w:ind w:firstLineChars="0"/>
              <w:jc w:val="right"/>
              <w:rPr>
                <w:rFonts w:ascii="Times New Roman Regular" w:hAnsi="Times New Roman Regular" w:cs="Times New Roman Regular"/>
                <w:sz w:val="24"/>
                <w:szCs w:val="24"/>
              </w:rPr>
            </w:pPr>
          </w:p>
        </w:tc>
        <w:tc>
          <w:tcPr>
            <w:tcW w:w="1238" w:type="pct"/>
            <w:vAlign w:val="center"/>
          </w:tcPr>
          <w:p w:rsidR="00967DA2" w:rsidRPr="00C82635" w:rsidP="00967DA2">
            <w:pPr>
              <w:spacing w:line="240" w:lineRule="auto"/>
              <w:ind w:left="-83" w:right="-131" w:leftChars="-26" w:rightChars="-41"/>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璜泾镇农村生活污水治理工程</w:t>
            </w:r>
          </w:p>
        </w:tc>
        <w:tc>
          <w:tcPr>
            <w:tcW w:w="640" w:type="pct"/>
            <w:vAlign w:val="center"/>
          </w:tcPr>
          <w:p w:rsidR="00967DA2" w:rsidRPr="00C82635" w:rsidP="00967DA2">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璜泾镇</w:t>
            </w:r>
          </w:p>
        </w:tc>
        <w:tc>
          <w:tcPr>
            <w:tcW w:w="539" w:type="pct"/>
            <w:vAlign w:val="center"/>
          </w:tcPr>
          <w:p w:rsidR="00967DA2" w:rsidRPr="00C82635" w:rsidP="00967DA2">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sz w:val="24"/>
                <w:szCs w:val="24"/>
              </w:rPr>
              <w:t>300</w:t>
            </w:r>
          </w:p>
        </w:tc>
        <w:tc>
          <w:tcPr>
            <w:tcW w:w="551" w:type="pct"/>
            <w:vAlign w:val="center"/>
          </w:tcPr>
          <w:p w:rsidR="00967DA2" w:rsidRPr="00C82635" w:rsidP="00967DA2">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已完成</w:t>
            </w:r>
          </w:p>
        </w:tc>
        <w:tc>
          <w:tcPr>
            <w:tcW w:w="449" w:type="pct"/>
            <w:vAlign w:val="center"/>
          </w:tcPr>
          <w:p w:rsidR="00967DA2" w:rsidRPr="00B21412" w:rsidP="00967DA2">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sz w:val="24"/>
                <w:szCs w:val="24"/>
              </w:rPr>
              <w:t>300</w:t>
            </w:r>
          </w:p>
        </w:tc>
        <w:tc>
          <w:tcPr>
            <w:tcW w:w="1363" w:type="pct"/>
            <w:vAlign w:val="center"/>
          </w:tcPr>
          <w:p w:rsidR="00967DA2" w:rsidRPr="00483A03" w:rsidP="00967DA2">
            <w:pPr>
              <w:spacing w:line="240" w:lineRule="auto"/>
              <w:jc w:val="center"/>
              <w:rPr>
                <w:rFonts w:ascii="Times New Roman Regular" w:eastAsia="宋体" w:hAnsi="Times New Roman Regular" w:cs="Times New Roman Regular"/>
                <w:sz w:val="24"/>
              </w:rPr>
            </w:pPr>
          </w:p>
        </w:tc>
      </w:tr>
      <w:tr w:rsidTr="00967DA2">
        <w:tblPrEx>
          <w:tblW w:w="5000" w:type="pct"/>
          <w:jc w:val="center"/>
          <w:tblLook w:val="04A0"/>
        </w:tblPrEx>
        <w:trPr>
          <w:trHeight w:val="20"/>
          <w:jc w:val="center"/>
        </w:trPr>
        <w:tc>
          <w:tcPr>
            <w:tcW w:w="219" w:type="pct"/>
            <w:vAlign w:val="center"/>
          </w:tcPr>
          <w:p w:rsidR="00967DA2" w:rsidP="00967DA2">
            <w:pPr>
              <w:pStyle w:val="Style52"/>
              <w:numPr>
                <w:ilvl w:val="0"/>
                <w:numId w:val="11"/>
              </w:numPr>
              <w:spacing w:line="240" w:lineRule="auto"/>
              <w:ind w:firstLineChars="0"/>
              <w:jc w:val="right"/>
              <w:rPr>
                <w:rFonts w:ascii="Times New Roman Regular" w:hAnsi="Times New Roman Regular" w:cs="Times New Roman Regular"/>
                <w:sz w:val="24"/>
                <w:szCs w:val="24"/>
              </w:rPr>
            </w:pPr>
          </w:p>
        </w:tc>
        <w:tc>
          <w:tcPr>
            <w:tcW w:w="1238" w:type="pct"/>
            <w:vAlign w:val="center"/>
          </w:tcPr>
          <w:p w:rsidR="00967DA2" w:rsidRPr="00C82635" w:rsidP="00967DA2">
            <w:pPr>
              <w:spacing w:line="240" w:lineRule="auto"/>
              <w:ind w:left="-83" w:right="-131" w:leftChars="-26" w:rightChars="-41"/>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双凤镇农村生活污水治理工程</w:t>
            </w:r>
          </w:p>
        </w:tc>
        <w:tc>
          <w:tcPr>
            <w:tcW w:w="640" w:type="pct"/>
            <w:vAlign w:val="center"/>
          </w:tcPr>
          <w:p w:rsidR="00967DA2" w:rsidRPr="00C82635" w:rsidP="00967DA2">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双凤镇</w:t>
            </w:r>
          </w:p>
        </w:tc>
        <w:tc>
          <w:tcPr>
            <w:tcW w:w="539" w:type="pct"/>
            <w:vAlign w:val="center"/>
          </w:tcPr>
          <w:p w:rsidR="00967DA2" w:rsidRPr="00C82635" w:rsidP="00967DA2">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sz w:val="24"/>
                <w:szCs w:val="24"/>
              </w:rPr>
              <w:t>300</w:t>
            </w:r>
          </w:p>
        </w:tc>
        <w:tc>
          <w:tcPr>
            <w:tcW w:w="551" w:type="pct"/>
            <w:vAlign w:val="center"/>
          </w:tcPr>
          <w:p w:rsidR="00967DA2" w:rsidRPr="00C82635" w:rsidP="00967DA2">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已完成</w:t>
            </w:r>
          </w:p>
        </w:tc>
        <w:tc>
          <w:tcPr>
            <w:tcW w:w="449" w:type="pct"/>
            <w:vAlign w:val="center"/>
          </w:tcPr>
          <w:p w:rsidR="00967DA2" w:rsidRPr="00B21412" w:rsidP="00967DA2">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sz w:val="24"/>
                <w:szCs w:val="24"/>
              </w:rPr>
              <w:t>300</w:t>
            </w:r>
          </w:p>
        </w:tc>
        <w:tc>
          <w:tcPr>
            <w:tcW w:w="1363" w:type="pct"/>
            <w:vAlign w:val="center"/>
          </w:tcPr>
          <w:p w:rsidR="00967DA2" w:rsidRPr="00483A03" w:rsidP="00967DA2">
            <w:pPr>
              <w:spacing w:line="240" w:lineRule="auto"/>
              <w:jc w:val="center"/>
              <w:rPr>
                <w:rFonts w:ascii="Times New Roman Regular" w:eastAsia="宋体" w:hAnsi="Times New Roman Regular" w:cs="Times New Roman Regular"/>
                <w:sz w:val="24"/>
              </w:rPr>
            </w:pPr>
          </w:p>
        </w:tc>
      </w:tr>
      <w:tr w:rsidTr="00967DA2">
        <w:tblPrEx>
          <w:tblW w:w="5000" w:type="pct"/>
          <w:jc w:val="center"/>
          <w:tblLook w:val="04A0"/>
        </w:tblPrEx>
        <w:trPr>
          <w:trHeight w:val="20"/>
          <w:jc w:val="center"/>
        </w:trPr>
        <w:tc>
          <w:tcPr>
            <w:tcW w:w="219" w:type="pct"/>
            <w:vAlign w:val="center"/>
          </w:tcPr>
          <w:p w:rsidR="00B373FD">
            <w:pPr>
              <w:pStyle w:val="Style52"/>
              <w:numPr>
                <w:ilvl w:val="0"/>
                <w:numId w:val="11"/>
              </w:numPr>
              <w:spacing w:line="240" w:lineRule="auto"/>
              <w:ind w:firstLineChars="0"/>
              <w:jc w:val="right"/>
              <w:rPr>
                <w:rFonts w:ascii="Times New Roman Regular" w:hAnsi="Times New Roman Regular" w:cs="Times New Roman Regular"/>
                <w:sz w:val="24"/>
                <w:szCs w:val="24"/>
              </w:rPr>
            </w:pPr>
          </w:p>
        </w:tc>
        <w:tc>
          <w:tcPr>
            <w:tcW w:w="1238" w:type="pct"/>
            <w:vAlign w:val="center"/>
          </w:tcPr>
          <w:p w:rsidR="00B373FD" w:rsidRPr="00C82635">
            <w:pPr>
              <w:spacing w:line="240" w:lineRule="auto"/>
              <w:ind w:left="-83" w:right="-131" w:leftChars="-26" w:rightChars="-41"/>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农村生活污水治理工程</w:t>
            </w:r>
          </w:p>
        </w:tc>
        <w:tc>
          <w:tcPr>
            <w:tcW w:w="640"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太仓市</w:t>
            </w:r>
            <w:r w:rsidR="00C82635">
              <w:rPr>
                <w:rFonts w:ascii="Times New Roman Regular" w:eastAsia="宋体" w:hAnsi="Times New Roman Regular" w:cs="Times New Roman Regular" w:hint="eastAsia"/>
                <w:sz w:val="24"/>
                <w:szCs w:val="24"/>
              </w:rPr>
              <w:t>水务局、水务集团</w:t>
            </w:r>
          </w:p>
        </w:tc>
        <w:tc>
          <w:tcPr>
            <w:tcW w:w="539"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sz w:val="24"/>
                <w:szCs w:val="24"/>
              </w:rPr>
              <w:t>50000</w:t>
            </w:r>
          </w:p>
        </w:tc>
        <w:tc>
          <w:tcPr>
            <w:tcW w:w="551"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已完成</w:t>
            </w:r>
          </w:p>
        </w:tc>
        <w:tc>
          <w:tcPr>
            <w:tcW w:w="449"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sz w:val="24"/>
                <w:szCs w:val="24"/>
              </w:rPr>
              <w:t>81000</w:t>
            </w:r>
          </w:p>
        </w:tc>
        <w:tc>
          <w:tcPr>
            <w:tcW w:w="1363"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包含了</w:t>
            </w:r>
            <w:r>
              <w:rPr>
                <w:rFonts w:ascii="Times New Roman Regular" w:eastAsia="宋体" w:hAnsi="Times New Roman Regular" w:cs="Times New Roman Regular" w:hint="eastAsia"/>
                <w:sz w:val="24"/>
                <w:szCs w:val="24"/>
              </w:rPr>
              <w:t>18-23</w:t>
            </w:r>
            <w:r>
              <w:rPr>
                <w:rFonts w:ascii="Times New Roman Regular" w:eastAsia="宋体" w:hAnsi="Times New Roman Regular" w:cs="Times New Roman Regular" w:hint="eastAsia"/>
                <w:sz w:val="24"/>
                <w:szCs w:val="24"/>
              </w:rPr>
              <w:t>沙溪、浏河、璜泾、双凤投资</w:t>
            </w:r>
          </w:p>
        </w:tc>
      </w:tr>
      <w:tr w:rsidTr="00967DA2">
        <w:tblPrEx>
          <w:tblW w:w="5000" w:type="pct"/>
          <w:jc w:val="center"/>
          <w:tblLook w:val="04A0"/>
        </w:tblPrEx>
        <w:trPr>
          <w:trHeight w:val="20"/>
          <w:jc w:val="center"/>
        </w:trPr>
        <w:tc>
          <w:tcPr>
            <w:tcW w:w="219" w:type="pct"/>
            <w:vAlign w:val="center"/>
          </w:tcPr>
          <w:p w:rsidR="00B373FD">
            <w:pPr>
              <w:pStyle w:val="Style52"/>
              <w:numPr>
                <w:ilvl w:val="0"/>
                <w:numId w:val="11"/>
              </w:numPr>
              <w:spacing w:line="240" w:lineRule="auto"/>
              <w:ind w:firstLineChars="0"/>
              <w:jc w:val="right"/>
              <w:rPr>
                <w:rFonts w:ascii="Times New Roman Regular" w:hAnsi="Times New Roman Regular" w:cs="Times New Roman Regular"/>
                <w:sz w:val="24"/>
                <w:szCs w:val="24"/>
              </w:rPr>
            </w:pPr>
          </w:p>
        </w:tc>
        <w:tc>
          <w:tcPr>
            <w:tcW w:w="1238"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涉重企业停产</w:t>
            </w:r>
          </w:p>
        </w:tc>
        <w:tc>
          <w:tcPr>
            <w:tcW w:w="640"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太仓港经济技术开发区新区</w:t>
            </w:r>
          </w:p>
        </w:tc>
        <w:tc>
          <w:tcPr>
            <w:tcW w:w="539"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sz w:val="24"/>
                <w:szCs w:val="24"/>
              </w:rPr>
              <w:t>/</w:t>
            </w:r>
          </w:p>
        </w:tc>
        <w:tc>
          <w:tcPr>
            <w:tcW w:w="551"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已完成</w:t>
            </w:r>
          </w:p>
        </w:tc>
        <w:tc>
          <w:tcPr>
            <w:tcW w:w="449"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sz w:val="24"/>
                <w:szCs w:val="24"/>
              </w:rPr>
              <w:t>1650</w:t>
            </w:r>
          </w:p>
        </w:tc>
        <w:tc>
          <w:tcPr>
            <w:tcW w:w="1363"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10</w:t>
            </w:r>
            <w:r>
              <w:rPr>
                <w:rFonts w:ascii="Times New Roman Regular" w:eastAsia="宋体" w:hAnsi="Times New Roman Regular" w:cs="Times New Roman Regular" w:hint="eastAsia"/>
                <w:sz w:val="24"/>
                <w:szCs w:val="24"/>
              </w:rPr>
              <w:t>家企业</w:t>
            </w:r>
          </w:p>
        </w:tc>
      </w:tr>
      <w:tr w:rsidTr="00967DA2">
        <w:tblPrEx>
          <w:tblW w:w="5000" w:type="pct"/>
          <w:jc w:val="center"/>
          <w:tblLook w:val="04A0"/>
        </w:tblPrEx>
        <w:trPr>
          <w:trHeight w:val="20"/>
          <w:jc w:val="center"/>
        </w:trPr>
        <w:tc>
          <w:tcPr>
            <w:tcW w:w="219" w:type="pct"/>
            <w:vAlign w:val="center"/>
          </w:tcPr>
          <w:p w:rsidR="00B373FD">
            <w:pPr>
              <w:pStyle w:val="Style52"/>
              <w:numPr>
                <w:ilvl w:val="0"/>
                <w:numId w:val="11"/>
              </w:numPr>
              <w:spacing w:line="240" w:lineRule="auto"/>
              <w:ind w:firstLineChars="0"/>
              <w:jc w:val="right"/>
              <w:rPr>
                <w:rFonts w:ascii="Times New Roman Regular" w:hAnsi="Times New Roman Regular" w:cs="Times New Roman Regular"/>
                <w:sz w:val="24"/>
                <w:szCs w:val="24"/>
              </w:rPr>
            </w:pPr>
          </w:p>
        </w:tc>
        <w:tc>
          <w:tcPr>
            <w:tcW w:w="1238"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应急体系建设</w:t>
            </w:r>
          </w:p>
        </w:tc>
        <w:tc>
          <w:tcPr>
            <w:tcW w:w="640" w:type="pct"/>
            <w:vAlign w:val="center"/>
          </w:tcPr>
          <w:p w:rsidR="00B373FD" w:rsidRPr="00C82635" w:rsidP="00C80692">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太仓市人民</w:t>
            </w:r>
            <w:r w:rsidR="00C82635">
              <w:rPr>
                <w:rFonts w:ascii="Times New Roman Regular" w:eastAsia="宋体" w:hAnsi="Times New Roman Regular" w:cs="Times New Roman Regular" w:hint="eastAsia"/>
                <w:sz w:val="24"/>
                <w:szCs w:val="24"/>
              </w:rPr>
              <w:t>政府、</w:t>
            </w:r>
            <w:r>
              <w:rPr>
                <w:rFonts w:ascii="Times New Roman Regular" w:eastAsia="宋体" w:hAnsi="Times New Roman Regular" w:cs="Times New Roman Regular" w:hint="eastAsia"/>
                <w:sz w:val="24"/>
                <w:szCs w:val="24"/>
              </w:rPr>
              <w:t>太仓</w:t>
            </w:r>
            <w:r w:rsidR="00C82635">
              <w:rPr>
                <w:rFonts w:ascii="Times New Roman Regular" w:eastAsia="宋体" w:hAnsi="Times New Roman Regular" w:cs="Times New Roman Regular" w:hint="eastAsia"/>
                <w:sz w:val="24"/>
                <w:szCs w:val="24"/>
              </w:rPr>
              <w:t>生态环境局</w:t>
            </w:r>
          </w:p>
        </w:tc>
        <w:tc>
          <w:tcPr>
            <w:tcW w:w="539"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sz w:val="24"/>
                <w:szCs w:val="24"/>
              </w:rPr>
              <w:t>200</w:t>
            </w:r>
          </w:p>
        </w:tc>
        <w:tc>
          <w:tcPr>
            <w:tcW w:w="551"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已完成</w:t>
            </w:r>
          </w:p>
        </w:tc>
        <w:tc>
          <w:tcPr>
            <w:tcW w:w="449"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sz w:val="24"/>
                <w:szCs w:val="24"/>
              </w:rPr>
              <w:t>60.8</w:t>
            </w:r>
          </w:p>
        </w:tc>
        <w:tc>
          <w:tcPr>
            <w:tcW w:w="1363"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2019</w:t>
            </w:r>
            <w:r>
              <w:rPr>
                <w:rFonts w:ascii="Times New Roman Regular" w:eastAsia="宋体" w:hAnsi="Times New Roman Regular" w:cs="Times New Roman Regular" w:hint="eastAsia"/>
                <w:sz w:val="24"/>
                <w:szCs w:val="24"/>
              </w:rPr>
              <w:t>年八查八改核查</w:t>
            </w:r>
            <w:r>
              <w:rPr>
                <w:rFonts w:ascii="Times New Roman Regular" w:eastAsia="宋体" w:hAnsi="Times New Roman Regular" w:cs="Times New Roman Regular" w:hint="eastAsia"/>
                <w:sz w:val="24"/>
                <w:szCs w:val="24"/>
              </w:rPr>
              <w:t>20</w:t>
            </w:r>
            <w:r>
              <w:rPr>
                <w:rFonts w:ascii="Times New Roman Regular" w:eastAsia="宋体" w:hAnsi="Times New Roman Regular" w:cs="Times New Roman Regular" w:hint="eastAsia"/>
                <w:sz w:val="24"/>
                <w:szCs w:val="24"/>
              </w:rPr>
              <w:t>万，应急装备</w:t>
            </w:r>
            <w:r>
              <w:rPr>
                <w:rFonts w:ascii="Times New Roman Regular" w:eastAsia="宋体" w:hAnsi="Times New Roman Regular" w:cs="Times New Roman Regular" w:hint="eastAsia"/>
                <w:sz w:val="24"/>
                <w:szCs w:val="24"/>
              </w:rPr>
              <w:t>5</w:t>
            </w:r>
            <w:r>
              <w:rPr>
                <w:rFonts w:ascii="Times New Roman Regular" w:eastAsia="宋体" w:hAnsi="Times New Roman Regular" w:cs="Times New Roman Regular" w:hint="eastAsia"/>
                <w:sz w:val="24"/>
                <w:szCs w:val="24"/>
              </w:rPr>
              <w:t>万；</w:t>
            </w:r>
            <w:r>
              <w:rPr>
                <w:rFonts w:ascii="Times New Roman Regular" w:eastAsia="宋体" w:hAnsi="Times New Roman Regular" w:cs="Times New Roman Regular" w:hint="eastAsia"/>
                <w:sz w:val="24"/>
                <w:szCs w:val="24"/>
              </w:rPr>
              <w:t>2020</w:t>
            </w:r>
            <w:r>
              <w:rPr>
                <w:rFonts w:ascii="Times New Roman Regular" w:eastAsia="宋体" w:hAnsi="Times New Roman Regular" w:cs="Times New Roman Regular" w:hint="eastAsia"/>
                <w:sz w:val="24"/>
                <w:szCs w:val="24"/>
              </w:rPr>
              <w:t>年八查八改核查</w:t>
            </w:r>
            <w:r>
              <w:rPr>
                <w:rFonts w:ascii="Times New Roman Regular" w:eastAsia="宋体" w:hAnsi="Times New Roman Regular" w:cs="Times New Roman Regular" w:hint="eastAsia"/>
                <w:sz w:val="24"/>
                <w:szCs w:val="24"/>
              </w:rPr>
              <w:t>6</w:t>
            </w:r>
            <w:r>
              <w:rPr>
                <w:rFonts w:ascii="Times New Roman Regular" w:eastAsia="宋体" w:hAnsi="Times New Roman Regular" w:cs="Times New Roman Regular" w:hint="eastAsia"/>
                <w:sz w:val="24"/>
                <w:szCs w:val="24"/>
              </w:rPr>
              <w:t>万，应急装备</w:t>
            </w:r>
            <w:r>
              <w:rPr>
                <w:rFonts w:ascii="Times New Roman Regular" w:eastAsia="宋体" w:hAnsi="Times New Roman Regular" w:cs="Times New Roman Regular" w:hint="eastAsia"/>
                <w:sz w:val="24"/>
                <w:szCs w:val="24"/>
              </w:rPr>
              <w:t>21.8</w:t>
            </w:r>
            <w:r>
              <w:rPr>
                <w:rFonts w:ascii="Times New Roman Regular" w:eastAsia="宋体" w:hAnsi="Times New Roman Regular" w:cs="Times New Roman Regular" w:hint="eastAsia"/>
                <w:sz w:val="24"/>
                <w:szCs w:val="24"/>
              </w:rPr>
              <w:t>万，应急演练</w:t>
            </w:r>
            <w:r>
              <w:rPr>
                <w:rFonts w:ascii="Times New Roman Regular" w:eastAsia="宋体" w:hAnsi="Times New Roman Regular" w:cs="Times New Roman Regular" w:hint="eastAsia"/>
                <w:sz w:val="24"/>
                <w:szCs w:val="24"/>
              </w:rPr>
              <w:t>8</w:t>
            </w:r>
            <w:r>
              <w:rPr>
                <w:rFonts w:ascii="Times New Roman Regular" w:eastAsia="宋体" w:hAnsi="Times New Roman Regular" w:cs="Times New Roman Regular" w:hint="eastAsia"/>
                <w:sz w:val="24"/>
                <w:szCs w:val="24"/>
              </w:rPr>
              <w:t>万。</w:t>
            </w:r>
          </w:p>
        </w:tc>
      </w:tr>
      <w:tr w:rsidTr="00967DA2">
        <w:tblPrEx>
          <w:tblW w:w="5000" w:type="pct"/>
          <w:jc w:val="center"/>
          <w:tblLook w:val="04A0"/>
        </w:tblPrEx>
        <w:trPr>
          <w:trHeight w:val="20"/>
          <w:jc w:val="center"/>
        </w:trPr>
        <w:tc>
          <w:tcPr>
            <w:tcW w:w="219" w:type="pct"/>
            <w:vAlign w:val="center"/>
          </w:tcPr>
          <w:p w:rsidR="00B373FD">
            <w:pPr>
              <w:pStyle w:val="Style52"/>
              <w:numPr>
                <w:ilvl w:val="0"/>
                <w:numId w:val="11"/>
              </w:numPr>
              <w:spacing w:line="240" w:lineRule="auto"/>
              <w:ind w:firstLineChars="0"/>
              <w:jc w:val="right"/>
              <w:rPr>
                <w:rFonts w:ascii="Times New Roman Regular" w:hAnsi="Times New Roman Regular" w:cs="Times New Roman Regular"/>
                <w:sz w:val="24"/>
                <w:szCs w:val="24"/>
              </w:rPr>
            </w:pPr>
          </w:p>
        </w:tc>
        <w:tc>
          <w:tcPr>
            <w:tcW w:w="1238"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应急预案修编工作</w:t>
            </w:r>
          </w:p>
        </w:tc>
        <w:tc>
          <w:tcPr>
            <w:tcW w:w="640"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太仓</w:t>
            </w:r>
            <w:r w:rsidR="00C82635">
              <w:rPr>
                <w:rFonts w:ascii="Times New Roman Regular" w:eastAsia="宋体" w:hAnsi="Times New Roman Regular" w:cs="Times New Roman Regular" w:hint="eastAsia"/>
                <w:sz w:val="24"/>
                <w:szCs w:val="24"/>
              </w:rPr>
              <w:t>生态环境局</w:t>
            </w:r>
          </w:p>
        </w:tc>
        <w:tc>
          <w:tcPr>
            <w:tcW w:w="539"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sz w:val="24"/>
                <w:szCs w:val="24"/>
              </w:rPr>
              <w:t>200</w:t>
            </w:r>
          </w:p>
        </w:tc>
        <w:tc>
          <w:tcPr>
            <w:tcW w:w="551"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已完成</w:t>
            </w:r>
          </w:p>
        </w:tc>
        <w:tc>
          <w:tcPr>
            <w:tcW w:w="449"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sz w:val="24"/>
                <w:szCs w:val="24"/>
              </w:rPr>
              <w:t>28.5</w:t>
            </w:r>
          </w:p>
        </w:tc>
        <w:tc>
          <w:tcPr>
            <w:tcW w:w="1363"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太仓市区域突发环境事件风险评估，水源地预案、太仓局预案、、。</w:t>
            </w:r>
          </w:p>
        </w:tc>
      </w:tr>
      <w:tr w:rsidTr="00967DA2">
        <w:tblPrEx>
          <w:tblW w:w="5000" w:type="pct"/>
          <w:jc w:val="center"/>
          <w:tblLook w:val="04A0"/>
        </w:tblPrEx>
        <w:trPr>
          <w:trHeight w:val="20"/>
          <w:jc w:val="center"/>
        </w:trPr>
        <w:tc>
          <w:tcPr>
            <w:tcW w:w="219" w:type="pct"/>
            <w:vAlign w:val="center"/>
          </w:tcPr>
          <w:p w:rsidR="00B373FD">
            <w:pPr>
              <w:pStyle w:val="Style52"/>
              <w:numPr>
                <w:ilvl w:val="0"/>
                <w:numId w:val="11"/>
              </w:numPr>
              <w:spacing w:line="240" w:lineRule="auto"/>
              <w:ind w:firstLineChars="0"/>
              <w:jc w:val="right"/>
              <w:rPr>
                <w:rFonts w:ascii="Times New Roman Regular" w:hAnsi="Times New Roman Regular" w:cs="Times New Roman Regular"/>
                <w:sz w:val="24"/>
                <w:szCs w:val="24"/>
              </w:rPr>
            </w:pPr>
          </w:p>
        </w:tc>
        <w:tc>
          <w:tcPr>
            <w:tcW w:w="1238" w:type="pct"/>
            <w:vAlign w:val="center"/>
          </w:tcPr>
          <w:p w:rsidR="00B373FD" w:rsidRPr="00C82635">
            <w:pPr>
              <w:widowControl/>
              <w:spacing w:line="240" w:lineRule="auto"/>
              <w:jc w:val="center"/>
              <w:rPr>
                <w:rFonts w:ascii="Times New Roman Regular" w:eastAsia="宋体" w:hAnsi="Times New Roman Regular" w:cs="Times New Roman Regular"/>
                <w:color w:val="000000"/>
                <w:sz w:val="24"/>
              </w:rPr>
            </w:pPr>
            <w:r>
              <w:rPr>
                <w:rFonts w:ascii="Times New Roman Regular" w:eastAsia="宋体" w:hAnsi="Times New Roman Regular" w:cs="Times New Roman Regular" w:hint="eastAsia"/>
                <w:color w:val="000000"/>
                <w:sz w:val="24"/>
                <w:szCs w:val="24"/>
              </w:rPr>
              <w:t>“十大”重点行业专项整治工程</w:t>
            </w:r>
          </w:p>
        </w:tc>
        <w:tc>
          <w:tcPr>
            <w:tcW w:w="640"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太仓</w:t>
            </w:r>
            <w:r w:rsidR="00C82635">
              <w:rPr>
                <w:rFonts w:ascii="Times New Roman Regular" w:eastAsia="宋体" w:hAnsi="Times New Roman Regular" w:cs="Times New Roman Regular" w:hint="eastAsia"/>
                <w:sz w:val="24"/>
                <w:szCs w:val="24"/>
              </w:rPr>
              <w:t>生态环境局</w:t>
            </w:r>
          </w:p>
        </w:tc>
        <w:tc>
          <w:tcPr>
            <w:tcW w:w="539"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sz w:val="24"/>
                <w:szCs w:val="24"/>
              </w:rPr>
              <w:t>/</w:t>
            </w:r>
          </w:p>
        </w:tc>
        <w:tc>
          <w:tcPr>
            <w:tcW w:w="551" w:type="pct"/>
            <w:vAlign w:val="center"/>
          </w:tcPr>
          <w:p w:rsidR="00B373FD" w:rsidRPr="00B21412">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sz w:val="24"/>
              </w:rPr>
              <w:t>已完成</w:t>
            </w:r>
          </w:p>
        </w:tc>
        <w:tc>
          <w:tcPr>
            <w:tcW w:w="449" w:type="pct"/>
            <w:vAlign w:val="center"/>
          </w:tcPr>
          <w:p w:rsidR="00B373FD" w:rsidRPr="00483A03">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rPr>
              <w:t>2</w:t>
            </w:r>
            <w:r>
              <w:rPr>
                <w:rFonts w:ascii="Times New Roman Regular" w:eastAsia="宋体" w:hAnsi="Times New Roman Regular" w:cs="Times New Roman Regular"/>
                <w:sz w:val="24"/>
              </w:rPr>
              <w:t>00000</w:t>
            </w:r>
          </w:p>
        </w:tc>
        <w:tc>
          <w:tcPr>
            <w:tcW w:w="1363" w:type="pct"/>
            <w:vAlign w:val="center"/>
          </w:tcPr>
          <w:p w:rsidR="00B373FD" w:rsidRPr="00C82635">
            <w:pPr>
              <w:spacing w:line="240" w:lineRule="auto"/>
              <w:jc w:val="center"/>
              <w:rPr>
                <w:rFonts w:ascii="Times New Roman Regular" w:eastAsia="宋体" w:hAnsi="Times New Roman Regular" w:cs="Times New Roman Regular"/>
                <w:sz w:val="24"/>
              </w:rPr>
            </w:pPr>
            <w:r w:rsidRPr="00993048">
              <w:rPr>
                <w:rFonts w:ascii="Times New Roman Regular" w:eastAsia="宋体" w:hAnsi="Times New Roman Regular" w:cs="Times New Roman Regular" w:hint="eastAsia"/>
                <w:sz w:val="24"/>
                <w:szCs w:val="24"/>
              </w:rPr>
              <w:t>需综合科、水气科确定完成情况</w:t>
            </w:r>
          </w:p>
        </w:tc>
      </w:tr>
      <w:tr w:rsidTr="00967DA2">
        <w:tblPrEx>
          <w:tblW w:w="5000" w:type="pct"/>
          <w:jc w:val="center"/>
          <w:tblLook w:val="04A0"/>
        </w:tblPrEx>
        <w:trPr>
          <w:trHeight w:val="20"/>
          <w:jc w:val="center"/>
        </w:trPr>
        <w:tc>
          <w:tcPr>
            <w:tcW w:w="219" w:type="pct"/>
            <w:vAlign w:val="center"/>
          </w:tcPr>
          <w:p w:rsidR="00B373FD">
            <w:pPr>
              <w:pStyle w:val="Style52"/>
              <w:numPr>
                <w:ilvl w:val="0"/>
                <w:numId w:val="11"/>
              </w:numPr>
              <w:spacing w:line="240" w:lineRule="auto"/>
              <w:ind w:firstLineChars="0"/>
              <w:jc w:val="right"/>
              <w:rPr>
                <w:rFonts w:ascii="Times New Roman Regular" w:hAnsi="Times New Roman Regular" w:cs="Times New Roman Regular"/>
                <w:sz w:val="24"/>
                <w:szCs w:val="24"/>
              </w:rPr>
            </w:pPr>
          </w:p>
        </w:tc>
        <w:tc>
          <w:tcPr>
            <w:tcW w:w="1238" w:type="pct"/>
            <w:vAlign w:val="center"/>
          </w:tcPr>
          <w:p w:rsidR="00B373FD" w:rsidRPr="00C82635">
            <w:pPr>
              <w:widowControl/>
              <w:spacing w:line="240" w:lineRule="auto"/>
              <w:jc w:val="center"/>
              <w:rPr>
                <w:rFonts w:ascii="Times New Roman Regular" w:eastAsia="宋体" w:hAnsi="Times New Roman Regular" w:cs="Times New Roman Regular"/>
                <w:color w:val="000000"/>
                <w:sz w:val="24"/>
              </w:rPr>
            </w:pPr>
            <w:r>
              <w:rPr>
                <w:rFonts w:ascii="Times New Roman Regular" w:eastAsia="宋体" w:hAnsi="Times New Roman Regular" w:cs="Times New Roman Regular" w:hint="eastAsia"/>
                <w:color w:val="000000"/>
                <w:sz w:val="24"/>
                <w:szCs w:val="24"/>
              </w:rPr>
              <w:t>关停和淘汰落后产能企业工程</w:t>
            </w:r>
          </w:p>
        </w:tc>
        <w:tc>
          <w:tcPr>
            <w:tcW w:w="640"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sz w:val="24"/>
              </w:rPr>
              <w:t>太仓市工信局</w:t>
            </w:r>
          </w:p>
        </w:tc>
        <w:tc>
          <w:tcPr>
            <w:tcW w:w="539"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sz w:val="24"/>
                <w:szCs w:val="24"/>
              </w:rPr>
              <w:t>5000</w:t>
            </w:r>
          </w:p>
        </w:tc>
        <w:tc>
          <w:tcPr>
            <w:tcW w:w="551"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已完成</w:t>
            </w:r>
          </w:p>
        </w:tc>
        <w:tc>
          <w:tcPr>
            <w:tcW w:w="449" w:type="pct"/>
            <w:vAlign w:val="center"/>
          </w:tcPr>
          <w:p w:rsidR="00B373FD" w:rsidRPr="00B21412">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sz w:val="24"/>
                <w:szCs w:val="24"/>
              </w:rPr>
              <w:t>5000</w:t>
            </w:r>
          </w:p>
        </w:tc>
        <w:tc>
          <w:tcPr>
            <w:tcW w:w="1363" w:type="pct"/>
            <w:vAlign w:val="center"/>
          </w:tcPr>
          <w:p w:rsidR="00B373FD" w:rsidRPr="00483A03">
            <w:pPr>
              <w:spacing w:line="240" w:lineRule="auto"/>
              <w:jc w:val="center"/>
              <w:rPr>
                <w:rFonts w:ascii="Times New Roman Regular" w:eastAsia="宋体" w:hAnsi="Times New Roman Regular" w:cs="Times New Roman Regular"/>
                <w:sz w:val="24"/>
              </w:rPr>
            </w:pPr>
          </w:p>
        </w:tc>
      </w:tr>
      <w:tr w:rsidTr="00967DA2">
        <w:tblPrEx>
          <w:tblW w:w="5000" w:type="pct"/>
          <w:jc w:val="center"/>
          <w:tblLook w:val="04A0"/>
        </w:tblPrEx>
        <w:trPr>
          <w:trHeight w:val="20"/>
          <w:jc w:val="center"/>
        </w:trPr>
        <w:tc>
          <w:tcPr>
            <w:tcW w:w="219" w:type="pct"/>
            <w:vAlign w:val="center"/>
          </w:tcPr>
          <w:p w:rsidR="00B373FD">
            <w:pPr>
              <w:pStyle w:val="Style52"/>
              <w:numPr>
                <w:ilvl w:val="0"/>
                <w:numId w:val="11"/>
              </w:numPr>
              <w:spacing w:line="240" w:lineRule="auto"/>
              <w:ind w:firstLineChars="0"/>
              <w:jc w:val="right"/>
              <w:rPr>
                <w:rFonts w:ascii="Times New Roman Regular" w:hAnsi="Times New Roman Regular" w:cs="Times New Roman Regular"/>
                <w:sz w:val="24"/>
                <w:szCs w:val="24"/>
              </w:rPr>
            </w:pPr>
          </w:p>
        </w:tc>
        <w:tc>
          <w:tcPr>
            <w:tcW w:w="1238" w:type="pct"/>
            <w:vAlign w:val="center"/>
          </w:tcPr>
          <w:p w:rsidR="00B373FD" w:rsidRPr="00C82635">
            <w:pPr>
              <w:widowControl/>
              <w:spacing w:line="240" w:lineRule="auto"/>
              <w:jc w:val="center"/>
              <w:rPr>
                <w:rFonts w:ascii="Times New Roman Regular" w:eastAsia="宋体" w:hAnsi="Times New Roman Regular" w:cs="Times New Roman Regular"/>
                <w:color w:val="000000"/>
                <w:sz w:val="24"/>
              </w:rPr>
            </w:pPr>
            <w:r>
              <w:rPr>
                <w:rFonts w:ascii="Times New Roman Regular" w:eastAsia="宋体" w:hAnsi="Times New Roman Regular" w:cs="Times New Roman Regular" w:hint="eastAsia"/>
                <w:color w:val="000000"/>
                <w:sz w:val="24"/>
                <w:szCs w:val="24"/>
              </w:rPr>
              <w:t>重点工业行业提标改造工程</w:t>
            </w:r>
          </w:p>
        </w:tc>
        <w:tc>
          <w:tcPr>
            <w:tcW w:w="640"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太仓</w:t>
            </w:r>
            <w:r w:rsidR="00C82635">
              <w:rPr>
                <w:rFonts w:ascii="Times New Roman Regular" w:eastAsia="宋体" w:hAnsi="Times New Roman Regular" w:cs="Times New Roman Regular" w:hint="eastAsia"/>
                <w:sz w:val="24"/>
                <w:szCs w:val="24"/>
              </w:rPr>
              <w:t>生态环境局</w:t>
            </w:r>
          </w:p>
        </w:tc>
        <w:tc>
          <w:tcPr>
            <w:tcW w:w="539"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sz w:val="24"/>
                <w:szCs w:val="24"/>
              </w:rPr>
              <w:t>/</w:t>
            </w:r>
          </w:p>
        </w:tc>
        <w:tc>
          <w:tcPr>
            <w:tcW w:w="551"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已完成</w:t>
            </w:r>
          </w:p>
        </w:tc>
        <w:tc>
          <w:tcPr>
            <w:tcW w:w="449"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sz w:val="24"/>
                <w:szCs w:val="24"/>
              </w:rPr>
              <w:t>21690</w:t>
            </w:r>
          </w:p>
        </w:tc>
        <w:tc>
          <w:tcPr>
            <w:tcW w:w="1363"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完成</w:t>
            </w:r>
            <w:r>
              <w:rPr>
                <w:rFonts w:ascii="Times New Roman Regular" w:eastAsia="宋体" w:hAnsi="Times New Roman Regular" w:cs="Times New Roman Regular" w:hint="eastAsia"/>
                <w:sz w:val="24"/>
                <w:szCs w:val="24"/>
              </w:rPr>
              <w:t>42</w:t>
            </w:r>
            <w:r>
              <w:rPr>
                <w:rFonts w:ascii="Times New Roman Regular" w:eastAsia="宋体" w:hAnsi="Times New Roman Regular" w:cs="Times New Roman Regular" w:hint="eastAsia"/>
                <w:sz w:val="24"/>
                <w:szCs w:val="24"/>
              </w:rPr>
              <w:t>家纺织染整工业废水中锑污染物提标、</w:t>
            </w:r>
            <w:r>
              <w:rPr>
                <w:rFonts w:ascii="Times New Roman Regular" w:eastAsia="宋体" w:hAnsi="Times New Roman Regular" w:cs="Times New Roman Regular" w:hint="eastAsia"/>
                <w:sz w:val="24"/>
                <w:szCs w:val="24"/>
              </w:rPr>
              <w:t>30</w:t>
            </w:r>
            <w:r>
              <w:rPr>
                <w:rFonts w:ascii="Times New Roman Regular" w:eastAsia="宋体" w:hAnsi="Times New Roman Regular" w:cs="Times New Roman Regular" w:hint="eastAsia"/>
                <w:sz w:val="24"/>
                <w:szCs w:val="24"/>
              </w:rPr>
              <w:t>家纺织工业提</w:t>
            </w:r>
            <w:r>
              <w:rPr>
                <w:rFonts w:ascii="Times New Roman Regular" w:eastAsia="宋体" w:hAnsi="Times New Roman Regular" w:cs="Times New Roman Regular" w:hint="eastAsia"/>
                <w:sz w:val="24"/>
                <w:szCs w:val="24"/>
              </w:rPr>
              <w:t>标、</w:t>
            </w:r>
            <w:r>
              <w:rPr>
                <w:rFonts w:ascii="Times New Roman Regular" w:eastAsia="宋体" w:hAnsi="Times New Roman Regular" w:cs="Times New Roman Regular" w:hint="eastAsia"/>
                <w:sz w:val="24"/>
                <w:szCs w:val="24"/>
              </w:rPr>
              <w:t>9</w:t>
            </w:r>
            <w:r>
              <w:rPr>
                <w:rFonts w:ascii="Times New Roman Regular" w:eastAsia="宋体" w:hAnsi="Times New Roman Regular" w:cs="Times New Roman Regular" w:hint="eastAsia"/>
                <w:sz w:val="24"/>
                <w:szCs w:val="24"/>
              </w:rPr>
              <w:t>家化工工业提标、</w:t>
            </w:r>
            <w:r>
              <w:rPr>
                <w:rFonts w:ascii="Times New Roman Regular" w:eastAsia="宋体" w:hAnsi="Times New Roman Regular" w:cs="Times New Roman Regular" w:hint="eastAsia"/>
                <w:sz w:val="24"/>
                <w:szCs w:val="24"/>
              </w:rPr>
              <w:t>20</w:t>
            </w:r>
            <w:r>
              <w:rPr>
                <w:rFonts w:ascii="Times New Roman Regular" w:eastAsia="宋体" w:hAnsi="Times New Roman Regular" w:cs="Times New Roman Regular" w:hint="eastAsia"/>
                <w:sz w:val="24"/>
                <w:szCs w:val="24"/>
              </w:rPr>
              <w:t>家食品工业提标、太仓市港城污水处理有限公司工程提标。</w:t>
            </w:r>
          </w:p>
        </w:tc>
      </w:tr>
      <w:tr w:rsidTr="00967DA2">
        <w:tblPrEx>
          <w:tblW w:w="5000" w:type="pct"/>
          <w:jc w:val="center"/>
          <w:tblLook w:val="04A0"/>
        </w:tblPrEx>
        <w:trPr>
          <w:trHeight w:val="20"/>
          <w:jc w:val="center"/>
        </w:trPr>
        <w:tc>
          <w:tcPr>
            <w:tcW w:w="219" w:type="pct"/>
            <w:vAlign w:val="center"/>
          </w:tcPr>
          <w:p w:rsidR="00B373FD">
            <w:pPr>
              <w:pStyle w:val="Style52"/>
              <w:numPr>
                <w:ilvl w:val="0"/>
                <w:numId w:val="11"/>
              </w:numPr>
              <w:spacing w:line="240" w:lineRule="auto"/>
              <w:ind w:firstLineChars="0"/>
              <w:jc w:val="right"/>
              <w:rPr>
                <w:rFonts w:ascii="Times New Roman Regular" w:hAnsi="Times New Roman Regular" w:cs="Times New Roman Regular"/>
                <w:sz w:val="24"/>
                <w:szCs w:val="24"/>
              </w:rPr>
            </w:pPr>
          </w:p>
        </w:tc>
        <w:tc>
          <w:tcPr>
            <w:tcW w:w="1238" w:type="pct"/>
            <w:vAlign w:val="center"/>
          </w:tcPr>
          <w:p w:rsidR="00B373FD" w:rsidRPr="00C82635">
            <w:pPr>
              <w:spacing w:line="240" w:lineRule="auto"/>
              <w:ind w:left="-83" w:right="-131" w:leftChars="-26" w:rightChars="-41"/>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太仓市生态材料综合利用中心</w:t>
            </w:r>
          </w:p>
        </w:tc>
        <w:tc>
          <w:tcPr>
            <w:tcW w:w="640"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太仓市人民政府</w:t>
            </w:r>
          </w:p>
        </w:tc>
        <w:tc>
          <w:tcPr>
            <w:tcW w:w="539"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sz w:val="24"/>
                <w:szCs w:val="24"/>
              </w:rPr>
              <w:t>113540</w:t>
            </w:r>
          </w:p>
        </w:tc>
        <w:tc>
          <w:tcPr>
            <w:tcW w:w="551" w:type="pct"/>
            <w:vAlign w:val="center"/>
          </w:tcPr>
          <w:p w:rsidR="00B373FD" w:rsidRPr="00B21412">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sz w:val="24"/>
              </w:rPr>
              <w:t>已完成</w:t>
            </w:r>
          </w:p>
        </w:tc>
        <w:tc>
          <w:tcPr>
            <w:tcW w:w="449" w:type="pct"/>
            <w:vAlign w:val="center"/>
          </w:tcPr>
          <w:p w:rsidR="00B373FD" w:rsidRPr="00483A03">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rPr>
              <w:t>1</w:t>
            </w:r>
            <w:r>
              <w:rPr>
                <w:rFonts w:ascii="Times New Roman Regular" w:eastAsia="宋体" w:hAnsi="Times New Roman Regular" w:cs="Times New Roman Regular"/>
                <w:sz w:val="24"/>
              </w:rPr>
              <w:t>00000</w:t>
            </w:r>
          </w:p>
        </w:tc>
        <w:tc>
          <w:tcPr>
            <w:tcW w:w="1363" w:type="pct"/>
            <w:vAlign w:val="center"/>
          </w:tcPr>
          <w:p w:rsidR="00B373FD" w:rsidRPr="00C82635">
            <w:pPr>
              <w:spacing w:line="240" w:lineRule="auto"/>
              <w:jc w:val="center"/>
              <w:rPr>
                <w:rFonts w:ascii="Times New Roman Regular" w:eastAsia="宋体" w:hAnsi="Times New Roman Regular" w:cs="Times New Roman Regular"/>
                <w:sz w:val="24"/>
              </w:rPr>
            </w:pPr>
          </w:p>
        </w:tc>
      </w:tr>
      <w:tr w:rsidTr="00967DA2">
        <w:tblPrEx>
          <w:tblW w:w="5000" w:type="pct"/>
          <w:jc w:val="center"/>
          <w:tblLook w:val="04A0"/>
        </w:tblPrEx>
        <w:trPr>
          <w:trHeight w:val="20"/>
          <w:jc w:val="center"/>
        </w:trPr>
        <w:tc>
          <w:tcPr>
            <w:tcW w:w="219" w:type="pct"/>
            <w:vAlign w:val="center"/>
          </w:tcPr>
          <w:p w:rsidR="00B373FD">
            <w:pPr>
              <w:pStyle w:val="Style52"/>
              <w:numPr>
                <w:ilvl w:val="0"/>
                <w:numId w:val="11"/>
              </w:numPr>
              <w:spacing w:line="240" w:lineRule="auto"/>
              <w:ind w:firstLineChars="0"/>
              <w:jc w:val="right"/>
              <w:rPr>
                <w:rFonts w:ascii="Times New Roman Regular" w:hAnsi="Times New Roman Regular" w:cs="Times New Roman Regular"/>
                <w:sz w:val="24"/>
                <w:szCs w:val="24"/>
              </w:rPr>
            </w:pPr>
          </w:p>
        </w:tc>
        <w:tc>
          <w:tcPr>
            <w:tcW w:w="1238" w:type="pct"/>
            <w:vAlign w:val="center"/>
          </w:tcPr>
          <w:p w:rsidR="00B373FD" w:rsidRPr="00C82635">
            <w:pPr>
              <w:spacing w:line="240" w:lineRule="auto"/>
              <w:ind w:left="-83" w:right="-131" w:leftChars="-26" w:rightChars="-41"/>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生活垃圾焚烧扩建工程</w:t>
            </w:r>
          </w:p>
        </w:tc>
        <w:tc>
          <w:tcPr>
            <w:tcW w:w="640"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太仓市</w:t>
            </w:r>
            <w:r w:rsidR="00C82635">
              <w:rPr>
                <w:rFonts w:ascii="Times New Roman Regular" w:eastAsia="宋体" w:hAnsi="Times New Roman Regular" w:cs="Times New Roman Regular" w:hint="eastAsia"/>
                <w:sz w:val="24"/>
                <w:szCs w:val="24"/>
              </w:rPr>
              <w:t>城管局</w:t>
            </w:r>
          </w:p>
        </w:tc>
        <w:tc>
          <w:tcPr>
            <w:tcW w:w="539"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sz w:val="24"/>
                <w:szCs w:val="24"/>
              </w:rPr>
              <w:t>18000</w:t>
            </w:r>
          </w:p>
        </w:tc>
        <w:tc>
          <w:tcPr>
            <w:tcW w:w="551"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未开展</w:t>
            </w:r>
          </w:p>
        </w:tc>
        <w:tc>
          <w:tcPr>
            <w:tcW w:w="449"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sz w:val="24"/>
                <w:szCs w:val="24"/>
              </w:rPr>
              <w:t>0</w:t>
            </w:r>
          </w:p>
        </w:tc>
        <w:tc>
          <w:tcPr>
            <w:tcW w:w="1363"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已开展太仓再生资源综合利用项目（扩建项目）</w:t>
            </w:r>
          </w:p>
        </w:tc>
      </w:tr>
      <w:tr w:rsidTr="00967DA2">
        <w:tblPrEx>
          <w:tblW w:w="5000" w:type="pct"/>
          <w:jc w:val="center"/>
          <w:tblLook w:val="04A0"/>
        </w:tblPrEx>
        <w:trPr>
          <w:trHeight w:val="20"/>
          <w:jc w:val="center"/>
        </w:trPr>
        <w:tc>
          <w:tcPr>
            <w:tcW w:w="219" w:type="pct"/>
            <w:vAlign w:val="center"/>
          </w:tcPr>
          <w:p w:rsidR="00B373FD">
            <w:pPr>
              <w:pStyle w:val="Style52"/>
              <w:numPr>
                <w:ilvl w:val="0"/>
                <w:numId w:val="11"/>
              </w:numPr>
              <w:spacing w:line="240" w:lineRule="auto"/>
              <w:ind w:firstLineChars="0"/>
              <w:jc w:val="right"/>
              <w:rPr>
                <w:rFonts w:ascii="Times New Roman Regular" w:hAnsi="Times New Roman Regular" w:cs="Times New Roman Regular"/>
                <w:sz w:val="24"/>
                <w:szCs w:val="24"/>
              </w:rPr>
            </w:pPr>
          </w:p>
        </w:tc>
        <w:tc>
          <w:tcPr>
            <w:tcW w:w="1238" w:type="pct"/>
            <w:vAlign w:val="center"/>
          </w:tcPr>
          <w:p w:rsidR="00B373FD" w:rsidRPr="00C82635">
            <w:pPr>
              <w:spacing w:line="240" w:lineRule="auto"/>
              <w:ind w:left="-83" w:right="-131" w:leftChars="-26" w:rightChars="-41"/>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生活垃圾无害化应急填埋场建设工程</w:t>
            </w:r>
          </w:p>
        </w:tc>
        <w:tc>
          <w:tcPr>
            <w:tcW w:w="640"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太仓市</w:t>
            </w:r>
            <w:r w:rsidR="00C82635">
              <w:rPr>
                <w:rFonts w:ascii="Times New Roman Regular" w:eastAsia="宋体" w:hAnsi="Times New Roman Regular" w:cs="Times New Roman Regular" w:hint="eastAsia"/>
                <w:sz w:val="24"/>
                <w:szCs w:val="24"/>
              </w:rPr>
              <w:t>城管局</w:t>
            </w:r>
          </w:p>
        </w:tc>
        <w:tc>
          <w:tcPr>
            <w:tcW w:w="539"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sz w:val="24"/>
                <w:szCs w:val="24"/>
              </w:rPr>
              <w:t>4000</w:t>
            </w:r>
          </w:p>
        </w:tc>
        <w:tc>
          <w:tcPr>
            <w:tcW w:w="551"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已完成</w:t>
            </w:r>
          </w:p>
        </w:tc>
        <w:tc>
          <w:tcPr>
            <w:tcW w:w="449"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sz w:val="24"/>
                <w:szCs w:val="24"/>
              </w:rPr>
              <w:t>3300</w:t>
            </w:r>
          </w:p>
        </w:tc>
        <w:tc>
          <w:tcPr>
            <w:tcW w:w="1363" w:type="pct"/>
            <w:vAlign w:val="center"/>
          </w:tcPr>
          <w:p w:rsidR="00B373FD" w:rsidRPr="00B21412">
            <w:pPr>
              <w:spacing w:line="240" w:lineRule="auto"/>
              <w:jc w:val="center"/>
              <w:rPr>
                <w:rFonts w:ascii="Times New Roman Regular" w:eastAsia="宋体" w:hAnsi="Times New Roman Regular" w:cs="Times New Roman Regular"/>
                <w:sz w:val="24"/>
              </w:rPr>
            </w:pPr>
          </w:p>
        </w:tc>
      </w:tr>
      <w:tr w:rsidTr="00967DA2">
        <w:tblPrEx>
          <w:tblW w:w="5000" w:type="pct"/>
          <w:jc w:val="center"/>
          <w:tblLook w:val="04A0"/>
        </w:tblPrEx>
        <w:trPr>
          <w:trHeight w:val="20"/>
          <w:jc w:val="center"/>
        </w:trPr>
        <w:tc>
          <w:tcPr>
            <w:tcW w:w="219" w:type="pct"/>
            <w:vAlign w:val="center"/>
          </w:tcPr>
          <w:p w:rsidR="00B373FD">
            <w:pPr>
              <w:pStyle w:val="Style52"/>
              <w:numPr>
                <w:ilvl w:val="0"/>
                <w:numId w:val="11"/>
              </w:numPr>
              <w:spacing w:line="240" w:lineRule="auto"/>
              <w:ind w:firstLineChars="0"/>
              <w:jc w:val="right"/>
              <w:rPr>
                <w:rFonts w:ascii="Times New Roman Regular" w:hAnsi="Times New Roman Regular" w:cs="Times New Roman Regular"/>
                <w:sz w:val="24"/>
                <w:szCs w:val="24"/>
              </w:rPr>
            </w:pPr>
          </w:p>
        </w:tc>
        <w:tc>
          <w:tcPr>
            <w:tcW w:w="1238" w:type="pct"/>
            <w:vAlign w:val="center"/>
          </w:tcPr>
          <w:p w:rsidR="00B373FD" w:rsidRPr="00C82635">
            <w:pPr>
              <w:spacing w:line="240" w:lineRule="auto"/>
              <w:ind w:left="-83" w:right="-131" w:leftChars="-26" w:rightChars="-41"/>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餐厨垃圾</w:t>
            </w:r>
          </w:p>
        </w:tc>
        <w:tc>
          <w:tcPr>
            <w:tcW w:w="640"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太仓市</w:t>
            </w:r>
            <w:r w:rsidR="00C82635">
              <w:rPr>
                <w:rFonts w:ascii="Times New Roman Regular" w:eastAsia="宋体" w:hAnsi="Times New Roman Regular" w:cs="Times New Roman Regular" w:hint="eastAsia"/>
                <w:sz w:val="24"/>
                <w:szCs w:val="24"/>
              </w:rPr>
              <w:t>城管局</w:t>
            </w:r>
          </w:p>
        </w:tc>
        <w:tc>
          <w:tcPr>
            <w:tcW w:w="539"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sz w:val="24"/>
                <w:szCs w:val="24"/>
              </w:rPr>
              <w:t>5000</w:t>
            </w:r>
          </w:p>
        </w:tc>
        <w:tc>
          <w:tcPr>
            <w:tcW w:w="551"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已完成</w:t>
            </w:r>
          </w:p>
        </w:tc>
        <w:tc>
          <w:tcPr>
            <w:tcW w:w="449"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sz w:val="24"/>
                <w:szCs w:val="24"/>
              </w:rPr>
              <w:t>6300</w:t>
            </w:r>
          </w:p>
        </w:tc>
        <w:tc>
          <w:tcPr>
            <w:tcW w:w="1363" w:type="pct"/>
            <w:vAlign w:val="center"/>
          </w:tcPr>
          <w:p w:rsidR="00B373FD" w:rsidRPr="00B21412">
            <w:pPr>
              <w:spacing w:line="240" w:lineRule="auto"/>
              <w:jc w:val="center"/>
              <w:rPr>
                <w:rFonts w:ascii="Times New Roman Regular" w:eastAsia="宋体" w:hAnsi="Times New Roman Regular" w:cs="Times New Roman Regular"/>
                <w:sz w:val="24"/>
              </w:rPr>
            </w:pPr>
          </w:p>
        </w:tc>
      </w:tr>
      <w:tr w:rsidTr="00967DA2">
        <w:tblPrEx>
          <w:tblW w:w="5000" w:type="pct"/>
          <w:jc w:val="center"/>
          <w:tblLook w:val="04A0"/>
        </w:tblPrEx>
        <w:trPr>
          <w:trHeight w:val="20"/>
          <w:jc w:val="center"/>
        </w:trPr>
        <w:tc>
          <w:tcPr>
            <w:tcW w:w="219" w:type="pct"/>
            <w:vAlign w:val="center"/>
          </w:tcPr>
          <w:p w:rsidR="00B373FD">
            <w:pPr>
              <w:pStyle w:val="Style52"/>
              <w:numPr>
                <w:ilvl w:val="0"/>
                <w:numId w:val="11"/>
              </w:numPr>
              <w:spacing w:line="240" w:lineRule="auto"/>
              <w:ind w:firstLineChars="0"/>
              <w:jc w:val="right"/>
              <w:rPr>
                <w:rFonts w:ascii="Times New Roman Regular" w:hAnsi="Times New Roman Regular" w:cs="Times New Roman Regular"/>
                <w:sz w:val="24"/>
                <w:szCs w:val="24"/>
              </w:rPr>
            </w:pPr>
          </w:p>
        </w:tc>
        <w:tc>
          <w:tcPr>
            <w:tcW w:w="1238" w:type="pct"/>
            <w:vAlign w:val="center"/>
          </w:tcPr>
          <w:p w:rsidR="00B373FD" w:rsidRPr="00C82635">
            <w:pPr>
              <w:spacing w:line="240" w:lineRule="auto"/>
              <w:ind w:left="-83" w:right="-131" w:leftChars="-26" w:rightChars="-41"/>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重金属分析能力建设项目</w:t>
            </w:r>
          </w:p>
        </w:tc>
        <w:tc>
          <w:tcPr>
            <w:tcW w:w="640"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太仓</w:t>
            </w:r>
            <w:r w:rsidR="00C82635">
              <w:rPr>
                <w:rFonts w:ascii="Times New Roman Regular" w:eastAsia="宋体" w:hAnsi="Times New Roman Regular" w:cs="Times New Roman Regular" w:hint="eastAsia"/>
                <w:sz w:val="24"/>
                <w:szCs w:val="24"/>
              </w:rPr>
              <w:t>生态环境局</w:t>
            </w:r>
          </w:p>
        </w:tc>
        <w:tc>
          <w:tcPr>
            <w:tcW w:w="539"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sz w:val="24"/>
                <w:szCs w:val="24"/>
              </w:rPr>
              <w:t>130</w:t>
            </w:r>
          </w:p>
        </w:tc>
        <w:tc>
          <w:tcPr>
            <w:tcW w:w="551"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已完成</w:t>
            </w:r>
          </w:p>
        </w:tc>
        <w:tc>
          <w:tcPr>
            <w:tcW w:w="449"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sz w:val="24"/>
                <w:szCs w:val="24"/>
              </w:rPr>
              <w:t>130</w:t>
            </w:r>
          </w:p>
        </w:tc>
        <w:tc>
          <w:tcPr>
            <w:tcW w:w="1363" w:type="pct"/>
            <w:vAlign w:val="center"/>
          </w:tcPr>
          <w:p w:rsidR="00B373FD" w:rsidRPr="00B21412">
            <w:pPr>
              <w:spacing w:line="240" w:lineRule="auto"/>
              <w:jc w:val="center"/>
              <w:rPr>
                <w:rFonts w:ascii="Times New Roman Regular" w:eastAsia="宋体" w:hAnsi="Times New Roman Regular" w:cs="Times New Roman Regular"/>
                <w:sz w:val="24"/>
              </w:rPr>
            </w:pPr>
          </w:p>
        </w:tc>
      </w:tr>
      <w:tr w:rsidTr="00967DA2">
        <w:tblPrEx>
          <w:tblW w:w="5000" w:type="pct"/>
          <w:jc w:val="center"/>
          <w:tblLook w:val="04A0"/>
        </w:tblPrEx>
        <w:trPr>
          <w:trHeight w:val="20"/>
          <w:jc w:val="center"/>
        </w:trPr>
        <w:tc>
          <w:tcPr>
            <w:tcW w:w="219" w:type="pct"/>
            <w:vAlign w:val="center"/>
          </w:tcPr>
          <w:p w:rsidR="00B373FD">
            <w:pPr>
              <w:pStyle w:val="Style52"/>
              <w:numPr>
                <w:ilvl w:val="0"/>
                <w:numId w:val="11"/>
              </w:numPr>
              <w:spacing w:line="240" w:lineRule="auto"/>
              <w:ind w:firstLineChars="0"/>
              <w:jc w:val="right"/>
              <w:rPr>
                <w:rFonts w:ascii="Times New Roman Regular" w:hAnsi="Times New Roman Regular" w:cs="Times New Roman Regular"/>
                <w:sz w:val="24"/>
                <w:szCs w:val="24"/>
              </w:rPr>
            </w:pPr>
          </w:p>
        </w:tc>
        <w:tc>
          <w:tcPr>
            <w:tcW w:w="1238" w:type="pct"/>
            <w:vAlign w:val="center"/>
          </w:tcPr>
          <w:p w:rsidR="00B373FD" w:rsidRPr="00C82635">
            <w:pPr>
              <w:spacing w:line="240" w:lineRule="auto"/>
              <w:ind w:left="-83" w:right="-131" w:leftChars="-26" w:rightChars="-41"/>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有机物分析能力建设项目</w:t>
            </w:r>
          </w:p>
        </w:tc>
        <w:tc>
          <w:tcPr>
            <w:tcW w:w="640"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太仓</w:t>
            </w:r>
            <w:r w:rsidR="00C82635">
              <w:rPr>
                <w:rFonts w:ascii="Times New Roman Regular" w:eastAsia="宋体" w:hAnsi="Times New Roman Regular" w:cs="Times New Roman Regular" w:hint="eastAsia"/>
                <w:sz w:val="24"/>
                <w:szCs w:val="24"/>
              </w:rPr>
              <w:t>生态环境局</w:t>
            </w:r>
          </w:p>
        </w:tc>
        <w:tc>
          <w:tcPr>
            <w:tcW w:w="539"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sz w:val="24"/>
                <w:szCs w:val="24"/>
              </w:rPr>
              <w:t>180</w:t>
            </w:r>
          </w:p>
        </w:tc>
        <w:tc>
          <w:tcPr>
            <w:tcW w:w="551"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已完成</w:t>
            </w:r>
          </w:p>
        </w:tc>
        <w:tc>
          <w:tcPr>
            <w:tcW w:w="449"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sz w:val="24"/>
                <w:szCs w:val="24"/>
              </w:rPr>
              <w:t>180</w:t>
            </w:r>
          </w:p>
        </w:tc>
        <w:tc>
          <w:tcPr>
            <w:tcW w:w="1363" w:type="pct"/>
            <w:vAlign w:val="center"/>
          </w:tcPr>
          <w:p w:rsidR="00B373FD" w:rsidRPr="00B21412">
            <w:pPr>
              <w:spacing w:line="240" w:lineRule="auto"/>
              <w:jc w:val="center"/>
              <w:rPr>
                <w:rFonts w:ascii="Times New Roman Regular" w:eastAsia="宋体" w:hAnsi="Times New Roman Regular" w:cs="Times New Roman Regular"/>
                <w:sz w:val="24"/>
              </w:rPr>
            </w:pPr>
          </w:p>
        </w:tc>
      </w:tr>
      <w:tr w:rsidTr="00967DA2">
        <w:tblPrEx>
          <w:tblW w:w="5000" w:type="pct"/>
          <w:jc w:val="center"/>
          <w:tblLook w:val="04A0"/>
        </w:tblPrEx>
        <w:trPr>
          <w:trHeight w:val="20"/>
          <w:jc w:val="center"/>
        </w:trPr>
        <w:tc>
          <w:tcPr>
            <w:tcW w:w="219" w:type="pct"/>
            <w:vAlign w:val="center"/>
          </w:tcPr>
          <w:p w:rsidR="00B373FD">
            <w:pPr>
              <w:pStyle w:val="Style52"/>
              <w:numPr>
                <w:ilvl w:val="0"/>
                <w:numId w:val="11"/>
              </w:numPr>
              <w:spacing w:line="240" w:lineRule="auto"/>
              <w:ind w:firstLineChars="0"/>
              <w:jc w:val="right"/>
              <w:rPr>
                <w:rFonts w:ascii="Times New Roman Regular" w:hAnsi="Times New Roman Regular" w:cs="Times New Roman Regular"/>
                <w:sz w:val="24"/>
                <w:szCs w:val="24"/>
              </w:rPr>
            </w:pPr>
          </w:p>
        </w:tc>
        <w:tc>
          <w:tcPr>
            <w:tcW w:w="1238" w:type="pct"/>
            <w:vAlign w:val="center"/>
          </w:tcPr>
          <w:p w:rsidR="00B373FD" w:rsidRPr="00C82635">
            <w:pPr>
              <w:spacing w:line="240" w:lineRule="auto"/>
              <w:ind w:left="-83" w:right="-131" w:leftChars="-26" w:rightChars="-41"/>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生态文明宣传一条街项目</w:t>
            </w:r>
          </w:p>
        </w:tc>
        <w:tc>
          <w:tcPr>
            <w:tcW w:w="640"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太仓</w:t>
            </w:r>
            <w:r w:rsidR="00C82635">
              <w:rPr>
                <w:rFonts w:ascii="Times New Roman Regular" w:eastAsia="宋体" w:hAnsi="Times New Roman Regular" w:cs="Times New Roman Regular" w:hint="eastAsia"/>
                <w:sz w:val="24"/>
                <w:szCs w:val="24"/>
              </w:rPr>
              <w:t>生态环境局</w:t>
            </w:r>
          </w:p>
        </w:tc>
        <w:tc>
          <w:tcPr>
            <w:tcW w:w="539"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sz w:val="24"/>
                <w:szCs w:val="24"/>
              </w:rPr>
              <w:t>10</w:t>
            </w:r>
          </w:p>
        </w:tc>
        <w:tc>
          <w:tcPr>
            <w:tcW w:w="551"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hint="eastAsia"/>
                <w:sz w:val="24"/>
                <w:szCs w:val="24"/>
              </w:rPr>
              <w:t>已完成</w:t>
            </w:r>
          </w:p>
        </w:tc>
        <w:tc>
          <w:tcPr>
            <w:tcW w:w="449" w:type="pct"/>
            <w:vAlign w:val="center"/>
          </w:tcPr>
          <w:p w:rsidR="00B373FD" w:rsidRPr="00C82635">
            <w:pPr>
              <w:spacing w:line="240" w:lineRule="auto"/>
              <w:jc w:val="center"/>
              <w:rPr>
                <w:rFonts w:ascii="Times New Roman Regular" w:eastAsia="宋体" w:hAnsi="Times New Roman Regular" w:cs="Times New Roman Regular"/>
                <w:sz w:val="24"/>
              </w:rPr>
            </w:pPr>
            <w:r>
              <w:rPr>
                <w:rFonts w:ascii="Times New Roman Regular" w:eastAsia="宋体" w:hAnsi="Times New Roman Regular" w:cs="Times New Roman Regular"/>
                <w:sz w:val="24"/>
                <w:szCs w:val="24"/>
              </w:rPr>
              <w:t>10</w:t>
            </w:r>
          </w:p>
        </w:tc>
        <w:tc>
          <w:tcPr>
            <w:tcW w:w="1363" w:type="pct"/>
            <w:vAlign w:val="center"/>
          </w:tcPr>
          <w:p w:rsidR="00B373FD" w:rsidRPr="00B21412">
            <w:pPr>
              <w:spacing w:line="240" w:lineRule="auto"/>
              <w:jc w:val="center"/>
              <w:rPr>
                <w:rFonts w:ascii="Times New Roman Regular" w:eastAsia="宋体" w:hAnsi="Times New Roman Regular" w:cs="Times New Roman Regular"/>
                <w:sz w:val="24"/>
              </w:rPr>
            </w:pPr>
          </w:p>
        </w:tc>
      </w:tr>
    </w:tbl>
    <w:p w:rsidR="00B373FD">
      <w:pPr>
        <w:spacing w:line="500" w:lineRule="exact"/>
        <w:rPr>
          <w:rFonts w:eastAsia="楷体_GB2312"/>
          <w:bCs/>
          <w:sz w:val="28"/>
          <w:szCs w:val="28"/>
        </w:rPr>
      </w:pPr>
    </w:p>
    <w:p w:rsidR="00B373FD">
      <w:pPr>
        <w:spacing w:line="500" w:lineRule="exact"/>
        <w:rPr>
          <w:rFonts w:eastAsia="楷体_GB2312"/>
          <w:bCs/>
          <w:sz w:val="28"/>
          <w:szCs w:val="28"/>
        </w:rPr>
        <w:sectPr>
          <w:headerReference w:type="even" r:id="rId55"/>
          <w:headerReference w:type="default" r:id="rId56"/>
          <w:headerReference w:type="first" r:id="rId57"/>
          <w:pgSz w:w="16838" w:h="11906" w:orient="landscape"/>
          <w:pgMar w:top="1800" w:right="1440" w:bottom="1800" w:left="1440" w:header="851" w:footer="992" w:gutter="0"/>
          <w:cols w:space="720"/>
          <w:docGrid w:type="lines" w:linePitch="312"/>
        </w:sectPr>
      </w:pPr>
    </w:p>
    <w:p w:rsidR="00B373FD">
      <w:pPr>
        <w:pStyle w:val="Heading1"/>
        <w:spacing w:before="156" w:after="156"/>
      </w:pPr>
      <w:bookmarkStart w:id="76" w:name="_Toc57708849"/>
      <w:bookmarkStart w:id="77" w:name="_Toc58231353"/>
      <w:bookmarkStart w:id="78" w:name="_Toc77862723"/>
      <w:r>
        <w:t>附表</w:t>
      </w:r>
      <w:r>
        <w:t>2</w:t>
      </w:r>
      <w:bookmarkEnd w:id="76"/>
      <w:bookmarkEnd w:id="77"/>
      <w:bookmarkEnd w:id="78"/>
    </w:p>
    <w:p w:rsidR="000E7D14" w:rsidP="000E7D14">
      <w:pPr>
        <w:jc w:val="center"/>
        <w:outlineLvl w:val="0"/>
        <w:rPr>
          <w:b/>
          <w:bCs/>
        </w:rPr>
      </w:pPr>
      <w:bookmarkStart w:id="79" w:name="_Toc74311211"/>
      <w:bookmarkStart w:id="80" w:name="_Toc77862510"/>
      <w:r>
        <w:rPr>
          <w:b/>
          <w:bCs/>
        </w:rPr>
        <w:t>太仓市</w:t>
      </w:r>
      <w:r>
        <w:rPr>
          <w:b/>
          <w:bCs/>
        </w:rPr>
        <w:t>“</w:t>
      </w:r>
      <w:r>
        <w:rPr>
          <w:b/>
          <w:bCs/>
        </w:rPr>
        <w:t>十四五</w:t>
      </w:r>
      <w:r>
        <w:rPr>
          <w:b/>
          <w:bCs/>
        </w:rPr>
        <w:t>”</w:t>
      </w:r>
      <w:r>
        <w:rPr>
          <w:b/>
          <w:bCs/>
        </w:rPr>
        <w:t>生态环境保护规划重点工程表</w:t>
      </w:r>
      <w:bookmarkEnd w:id="79"/>
      <w:bookmarkEnd w:id="80"/>
    </w:p>
    <w:tbl>
      <w:tblPr>
        <w:tblW w:w="130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55"/>
        <w:gridCol w:w="687"/>
        <w:gridCol w:w="2174"/>
        <w:gridCol w:w="1406"/>
        <w:gridCol w:w="4512"/>
        <w:gridCol w:w="1305"/>
        <w:gridCol w:w="1304"/>
      </w:tblGrid>
      <w:tr w:rsidTr="00AC0AE4">
        <w:tblPrEx>
          <w:tblW w:w="130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510"/>
          <w:tblHeader/>
          <w:jc w:val="center"/>
        </w:trPr>
        <w:tc>
          <w:tcPr>
            <w:tcW w:w="1655" w:type="dxa"/>
            <w:vAlign w:val="center"/>
          </w:tcPr>
          <w:p w:rsidR="000E7D14" w:rsidP="00AC0AE4">
            <w:pPr>
              <w:spacing w:line="240" w:lineRule="auto"/>
              <w:jc w:val="center"/>
              <w:rPr>
                <w:rFonts w:ascii="Times New Roman Regular" w:eastAsia="宋体" w:hAnsi="Times New Roman Regular" w:cs="Times New Roman Regular"/>
                <w:b/>
                <w:sz w:val="24"/>
                <w:szCs w:val="24"/>
              </w:rPr>
            </w:pPr>
            <w:r>
              <w:rPr>
                <w:rFonts w:ascii="Times New Roman Regular" w:eastAsia="宋体" w:hAnsi="Times New Roman Regular" w:cs="Times New Roman Regular"/>
                <w:b/>
                <w:sz w:val="24"/>
                <w:szCs w:val="24"/>
              </w:rPr>
              <w:t>类别</w:t>
            </w:r>
          </w:p>
        </w:tc>
        <w:tc>
          <w:tcPr>
            <w:tcW w:w="687" w:type="dxa"/>
            <w:vAlign w:val="center"/>
          </w:tcPr>
          <w:p w:rsidR="000E7D14" w:rsidP="00AC0AE4">
            <w:pPr>
              <w:spacing w:line="240" w:lineRule="auto"/>
              <w:jc w:val="center"/>
              <w:rPr>
                <w:rFonts w:ascii="Times New Roman Regular" w:eastAsia="宋体" w:hAnsi="Times New Roman Regular" w:cs="Times New Roman Regular"/>
                <w:b/>
                <w:sz w:val="24"/>
                <w:szCs w:val="24"/>
              </w:rPr>
            </w:pPr>
            <w:r>
              <w:rPr>
                <w:rFonts w:ascii="Times New Roman Regular" w:eastAsia="宋体" w:hAnsi="Times New Roman Regular" w:cs="Times New Roman Regular"/>
                <w:b/>
                <w:sz w:val="24"/>
                <w:szCs w:val="24"/>
              </w:rPr>
              <w:t>序号</w:t>
            </w:r>
          </w:p>
        </w:tc>
        <w:tc>
          <w:tcPr>
            <w:tcW w:w="2174" w:type="dxa"/>
            <w:vAlign w:val="center"/>
          </w:tcPr>
          <w:p w:rsidR="000E7D14" w:rsidP="00AC0AE4">
            <w:pPr>
              <w:spacing w:line="240" w:lineRule="auto"/>
              <w:jc w:val="center"/>
              <w:rPr>
                <w:rFonts w:ascii="Times New Roman Regular" w:eastAsia="宋体" w:hAnsi="Times New Roman Regular" w:cs="Times New Roman Regular"/>
                <w:b/>
                <w:sz w:val="24"/>
                <w:szCs w:val="24"/>
              </w:rPr>
            </w:pPr>
            <w:r>
              <w:rPr>
                <w:rFonts w:ascii="Times New Roman Regular" w:eastAsia="宋体" w:hAnsi="Times New Roman Regular" w:cs="Times New Roman Regular"/>
                <w:b/>
                <w:sz w:val="24"/>
                <w:szCs w:val="24"/>
              </w:rPr>
              <w:t>项目名称</w:t>
            </w:r>
          </w:p>
        </w:tc>
        <w:tc>
          <w:tcPr>
            <w:tcW w:w="1406" w:type="dxa"/>
            <w:vAlign w:val="center"/>
          </w:tcPr>
          <w:p w:rsidR="000E7D14" w:rsidP="00AC0AE4">
            <w:pPr>
              <w:spacing w:line="240" w:lineRule="auto"/>
              <w:jc w:val="center"/>
              <w:rPr>
                <w:rFonts w:ascii="Times New Roman Regular" w:eastAsia="宋体" w:hAnsi="Times New Roman Regular" w:cs="Times New Roman Regular"/>
                <w:b/>
                <w:sz w:val="24"/>
                <w:szCs w:val="24"/>
              </w:rPr>
            </w:pPr>
            <w:r>
              <w:rPr>
                <w:rFonts w:ascii="Times New Roman Regular" w:eastAsia="宋体" w:hAnsi="Times New Roman Regular" w:cs="Times New Roman Regular"/>
                <w:b/>
                <w:sz w:val="24"/>
                <w:szCs w:val="24"/>
              </w:rPr>
              <w:t>实施单位</w:t>
            </w:r>
          </w:p>
        </w:tc>
        <w:tc>
          <w:tcPr>
            <w:tcW w:w="4512" w:type="dxa"/>
            <w:vAlign w:val="center"/>
          </w:tcPr>
          <w:p w:rsidR="000E7D14" w:rsidP="00AC0AE4">
            <w:pPr>
              <w:spacing w:line="240" w:lineRule="auto"/>
              <w:jc w:val="center"/>
              <w:rPr>
                <w:rFonts w:ascii="Times New Roman Regular" w:eastAsia="宋体" w:hAnsi="Times New Roman Regular" w:cs="Times New Roman Regular"/>
                <w:b/>
                <w:sz w:val="24"/>
                <w:szCs w:val="24"/>
              </w:rPr>
            </w:pPr>
            <w:r>
              <w:rPr>
                <w:rFonts w:ascii="Times New Roman Regular" w:eastAsia="宋体" w:hAnsi="Times New Roman Regular" w:cs="Times New Roman Regular"/>
                <w:b/>
                <w:sz w:val="24"/>
                <w:szCs w:val="24"/>
              </w:rPr>
              <w:t>主要建设内容及规模</w:t>
            </w:r>
          </w:p>
        </w:tc>
        <w:tc>
          <w:tcPr>
            <w:tcW w:w="1305" w:type="dxa"/>
            <w:vAlign w:val="center"/>
          </w:tcPr>
          <w:p w:rsidR="000E7D14" w:rsidP="00AC0AE4">
            <w:pPr>
              <w:spacing w:line="240" w:lineRule="auto"/>
              <w:jc w:val="center"/>
              <w:rPr>
                <w:rFonts w:ascii="Times New Roman Regular" w:eastAsia="宋体" w:hAnsi="Times New Roman Regular" w:cs="Times New Roman Regular"/>
                <w:b/>
                <w:sz w:val="24"/>
                <w:szCs w:val="24"/>
              </w:rPr>
            </w:pPr>
            <w:r>
              <w:rPr>
                <w:rFonts w:ascii="Times New Roman Regular" w:eastAsia="宋体" w:hAnsi="Times New Roman Regular" w:cs="Times New Roman Regular"/>
                <w:b/>
                <w:sz w:val="24"/>
                <w:szCs w:val="24"/>
              </w:rPr>
              <w:t>总投资</w:t>
            </w:r>
          </w:p>
          <w:p w:rsidR="000E7D14" w:rsidP="00AC0AE4">
            <w:pPr>
              <w:spacing w:line="240" w:lineRule="auto"/>
              <w:jc w:val="center"/>
              <w:rPr>
                <w:rFonts w:ascii="Times New Roman Regular" w:eastAsia="宋体" w:hAnsi="Times New Roman Regular" w:cs="Times New Roman Regular"/>
                <w:b/>
                <w:sz w:val="24"/>
                <w:szCs w:val="24"/>
              </w:rPr>
            </w:pPr>
            <w:r>
              <w:rPr>
                <w:rFonts w:ascii="Times New Roman Regular" w:eastAsia="宋体" w:hAnsi="Times New Roman Regular" w:cs="Times New Roman Regular"/>
                <w:b/>
                <w:sz w:val="24"/>
                <w:szCs w:val="24"/>
              </w:rPr>
              <w:t>（万元）</w:t>
            </w:r>
          </w:p>
        </w:tc>
        <w:tc>
          <w:tcPr>
            <w:tcW w:w="1304" w:type="dxa"/>
            <w:vAlign w:val="center"/>
          </w:tcPr>
          <w:p w:rsidR="000E7D14" w:rsidP="00AC0AE4">
            <w:pPr>
              <w:spacing w:line="240" w:lineRule="auto"/>
              <w:jc w:val="center"/>
              <w:rPr>
                <w:rFonts w:ascii="Times New Roman Regular" w:eastAsia="宋体" w:hAnsi="Times New Roman Regular" w:cs="Times New Roman Regular"/>
                <w:b/>
                <w:sz w:val="24"/>
                <w:szCs w:val="24"/>
              </w:rPr>
            </w:pPr>
            <w:r>
              <w:rPr>
                <w:rFonts w:ascii="Times New Roman Regular" w:eastAsia="宋体" w:hAnsi="Times New Roman Regular" w:cs="Times New Roman Regular"/>
                <w:b/>
                <w:sz w:val="24"/>
                <w:szCs w:val="24"/>
              </w:rPr>
              <w:t>建设起止</w:t>
            </w:r>
          </w:p>
          <w:p w:rsidR="000E7D14" w:rsidP="00AC0AE4">
            <w:pPr>
              <w:spacing w:line="240" w:lineRule="auto"/>
              <w:jc w:val="center"/>
              <w:rPr>
                <w:rFonts w:ascii="Times New Roman Regular" w:eastAsia="宋体" w:hAnsi="Times New Roman Regular" w:cs="Times New Roman Regular"/>
                <w:b/>
                <w:sz w:val="24"/>
                <w:szCs w:val="24"/>
              </w:rPr>
            </w:pPr>
            <w:r>
              <w:rPr>
                <w:rFonts w:ascii="Times New Roman Regular" w:eastAsia="宋体" w:hAnsi="Times New Roman Regular" w:cs="Times New Roman Regular"/>
                <w:b/>
                <w:sz w:val="24"/>
                <w:szCs w:val="24"/>
              </w:rPr>
              <w:t>年份</w:t>
            </w:r>
          </w:p>
        </w:tc>
      </w:tr>
      <w:tr w:rsidTr="00AC0AE4">
        <w:tblPrEx>
          <w:tblW w:w="13043" w:type="dxa"/>
          <w:jc w:val="center"/>
          <w:tblLayout w:type="fixed"/>
          <w:tblLook w:val="04A0"/>
        </w:tblPrEx>
        <w:trPr>
          <w:trHeight w:val="510"/>
          <w:jc w:val="center"/>
        </w:trPr>
        <w:tc>
          <w:tcPr>
            <w:tcW w:w="1655" w:type="dxa"/>
            <w:vMerge w:val="restart"/>
            <w:vAlign w:val="center"/>
          </w:tcPr>
          <w:p w:rsidR="000E7D14" w:rsidP="00AC0AE4">
            <w:pPr>
              <w:spacing w:line="240" w:lineRule="auto"/>
              <w:rPr>
                <w:rFonts w:asciiTheme="minorEastAsia" w:eastAsiaTheme="minorEastAsia" w:hAnsiTheme="minorEastAsia" w:cs="Times New Roman Regular"/>
                <w:sz w:val="24"/>
                <w:szCs w:val="24"/>
              </w:rPr>
            </w:pPr>
            <w:r>
              <w:rPr>
                <w:rFonts w:asciiTheme="minorEastAsia" w:eastAsiaTheme="minorEastAsia" w:hAnsiTheme="minorEastAsia" w:cs="Times New Roman Regular"/>
                <w:sz w:val="24"/>
                <w:szCs w:val="24"/>
              </w:rPr>
              <w:t>一、大气环境质量提升</w:t>
            </w:r>
          </w:p>
        </w:tc>
        <w:tc>
          <w:tcPr>
            <w:tcW w:w="687" w:type="dxa"/>
            <w:vAlign w:val="center"/>
          </w:tcPr>
          <w:p w:rsidR="000E7D14" w:rsidP="00AC0AE4">
            <w:pPr>
              <w:spacing w:line="240" w:lineRule="auto"/>
              <w:jc w:val="center"/>
              <w:rPr>
                <w:rFonts w:asciiTheme="minorEastAsia" w:eastAsiaTheme="minorEastAsia" w:hAnsiTheme="minorEastAsia" w:cs="Times New Roman Regular"/>
                <w:sz w:val="24"/>
                <w:szCs w:val="24"/>
              </w:rPr>
            </w:pPr>
            <w:r>
              <w:rPr>
                <w:rFonts w:asciiTheme="minorEastAsia" w:eastAsiaTheme="minorEastAsia" w:hAnsiTheme="minorEastAsia" w:cs="Times New Roman Regular"/>
                <w:sz w:val="24"/>
                <w:szCs w:val="24"/>
              </w:rPr>
              <w:t>1</w:t>
            </w:r>
          </w:p>
        </w:tc>
        <w:tc>
          <w:tcPr>
            <w:tcW w:w="2174" w:type="dxa"/>
            <w:vAlign w:val="center"/>
          </w:tcPr>
          <w:p w:rsidR="000E7D14" w:rsidP="00AC0AE4">
            <w:pPr>
              <w:spacing w:line="240" w:lineRule="auto"/>
              <w:jc w:val="left"/>
              <w:rPr>
                <w:rFonts w:asciiTheme="minorEastAsia" w:eastAsiaTheme="minorEastAsia" w:hAnsiTheme="minorEastAsia" w:cs="Times New Roman Regular"/>
                <w:sz w:val="24"/>
                <w:szCs w:val="24"/>
              </w:rPr>
            </w:pPr>
            <w:r>
              <w:rPr>
                <w:rFonts w:asciiTheme="minorEastAsia" w:eastAsiaTheme="minorEastAsia" w:hAnsiTheme="minorEastAsia" w:cs="Times New Roman Regular"/>
                <w:sz w:val="24"/>
                <w:szCs w:val="24"/>
              </w:rPr>
              <w:t>岸电设施</w:t>
            </w:r>
          </w:p>
        </w:tc>
        <w:tc>
          <w:tcPr>
            <w:tcW w:w="1406" w:type="dxa"/>
            <w:vAlign w:val="center"/>
          </w:tcPr>
          <w:p w:rsidR="000E7D14" w:rsidP="00AC0AE4">
            <w:pPr>
              <w:spacing w:line="240" w:lineRule="auto"/>
              <w:jc w:val="center"/>
              <w:rPr>
                <w:rFonts w:asciiTheme="minorEastAsia" w:eastAsiaTheme="minorEastAsia" w:hAnsiTheme="minorEastAsia" w:cs="Times New Roman Regular"/>
                <w:sz w:val="24"/>
                <w:szCs w:val="24"/>
              </w:rPr>
            </w:pPr>
            <w:r>
              <w:rPr>
                <w:rFonts w:asciiTheme="minorEastAsia" w:eastAsiaTheme="minorEastAsia" w:hAnsiTheme="minorEastAsia" w:cs="Times New Roman Regular"/>
                <w:sz w:val="24"/>
                <w:szCs w:val="24"/>
              </w:rPr>
              <w:t>万方、武港、四期</w:t>
            </w:r>
          </w:p>
        </w:tc>
        <w:tc>
          <w:tcPr>
            <w:tcW w:w="4512" w:type="dxa"/>
            <w:vAlign w:val="center"/>
          </w:tcPr>
          <w:p w:rsidR="000E7D14" w:rsidP="00AC0AE4">
            <w:pPr>
              <w:spacing w:line="240" w:lineRule="auto"/>
              <w:rPr>
                <w:rFonts w:asciiTheme="minorEastAsia" w:eastAsiaTheme="minorEastAsia" w:hAnsiTheme="minorEastAsia" w:cs="Times New Roman Regular"/>
                <w:sz w:val="24"/>
                <w:szCs w:val="24"/>
              </w:rPr>
            </w:pPr>
            <w:r>
              <w:rPr>
                <w:rFonts w:asciiTheme="minorEastAsia" w:eastAsiaTheme="minorEastAsia" w:hAnsiTheme="minorEastAsia" w:cs="Times New Roman Regular"/>
                <w:sz w:val="24"/>
                <w:szCs w:val="24"/>
              </w:rPr>
              <w:t>建设万方、武港、四期共3套岸电设施</w:t>
            </w:r>
            <w:r>
              <w:rPr>
                <w:rFonts w:asciiTheme="minorEastAsia" w:eastAsiaTheme="minorEastAsia" w:hAnsiTheme="minorEastAsia" w:cs="Times New Roman Regular" w:hint="eastAsia"/>
                <w:sz w:val="24"/>
                <w:szCs w:val="24"/>
              </w:rPr>
              <w:t>。</w:t>
            </w:r>
          </w:p>
        </w:tc>
        <w:tc>
          <w:tcPr>
            <w:tcW w:w="1305" w:type="dxa"/>
            <w:vAlign w:val="center"/>
          </w:tcPr>
          <w:p w:rsidR="000E7D14" w:rsidP="00AC0AE4">
            <w:pPr>
              <w:spacing w:line="240" w:lineRule="auto"/>
              <w:jc w:val="center"/>
              <w:rPr>
                <w:rFonts w:asciiTheme="minorEastAsia" w:eastAsiaTheme="minorEastAsia" w:hAnsiTheme="minorEastAsia" w:cs="Times New Roman Regular"/>
                <w:sz w:val="24"/>
                <w:szCs w:val="24"/>
              </w:rPr>
            </w:pPr>
            <w:r>
              <w:rPr>
                <w:rFonts w:asciiTheme="minorEastAsia" w:eastAsiaTheme="minorEastAsia" w:hAnsiTheme="minorEastAsia" w:cs="Times New Roman Regular"/>
                <w:sz w:val="24"/>
                <w:szCs w:val="24"/>
              </w:rPr>
              <w:t>2750</w:t>
            </w:r>
          </w:p>
        </w:tc>
        <w:tc>
          <w:tcPr>
            <w:tcW w:w="1304" w:type="dxa"/>
            <w:vAlign w:val="center"/>
          </w:tcPr>
          <w:p w:rsidR="000E7D14" w:rsidP="00AC0AE4">
            <w:pPr>
              <w:spacing w:line="240" w:lineRule="auto"/>
              <w:jc w:val="center"/>
              <w:rPr>
                <w:rFonts w:asciiTheme="minorEastAsia" w:eastAsiaTheme="minorEastAsia" w:hAnsiTheme="minorEastAsia" w:cs="Times New Roman Regular"/>
                <w:sz w:val="24"/>
                <w:szCs w:val="24"/>
              </w:rPr>
            </w:pPr>
            <w:r>
              <w:rPr>
                <w:rFonts w:asciiTheme="minorEastAsia" w:eastAsiaTheme="minorEastAsia" w:hAnsiTheme="minorEastAsia" w:cs="Times New Roman Regular"/>
                <w:sz w:val="24"/>
                <w:szCs w:val="24"/>
              </w:rPr>
              <w:t>2021</w:t>
            </w:r>
          </w:p>
        </w:tc>
      </w:tr>
      <w:tr w:rsidTr="00AC0AE4">
        <w:tblPrEx>
          <w:tblW w:w="13043" w:type="dxa"/>
          <w:jc w:val="center"/>
          <w:tblLayout w:type="fixed"/>
          <w:tblLook w:val="04A0"/>
        </w:tblPrEx>
        <w:trPr>
          <w:trHeight w:val="510"/>
          <w:jc w:val="center"/>
        </w:trPr>
        <w:tc>
          <w:tcPr>
            <w:tcW w:w="1655" w:type="dxa"/>
            <w:vMerge/>
            <w:vAlign w:val="center"/>
          </w:tcPr>
          <w:p w:rsidR="000E7D14" w:rsidP="00AC0AE4">
            <w:pPr>
              <w:spacing w:line="240" w:lineRule="auto"/>
              <w:rPr>
                <w:rFonts w:asciiTheme="minorEastAsia" w:eastAsiaTheme="minorEastAsia" w:hAnsiTheme="minorEastAsia" w:cs="Times New Roman Regular"/>
                <w:sz w:val="24"/>
                <w:szCs w:val="24"/>
              </w:rPr>
            </w:pPr>
          </w:p>
        </w:tc>
        <w:tc>
          <w:tcPr>
            <w:tcW w:w="687" w:type="dxa"/>
            <w:vAlign w:val="center"/>
          </w:tcPr>
          <w:p w:rsidR="000E7D14" w:rsidP="00AC0AE4">
            <w:pPr>
              <w:spacing w:line="240" w:lineRule="auto"/>
              <w:jc w:val="center"/>
              <w:rPr>
                <w:rFonts w:asciiTheme="minorEastAsia" w:eastAsiaTheme="minorEastAsia" w:hAnsiTheme="minorEastAsia" w:cs="Times New Roman Regular"/>
                <w:sz w:val="24"/>
                <w:szCs w:val="24"/>
              </w:rPr>
            </w:pPr>
            <w:r>
              <w:rPr>
                <w:rFonts w:asciiTheme="minorEastAsia" w:eastAsiaTheme="minorEastAsia" w:hAnsiTheme="minorEastAsia" w:cs="Times New Roman Regular"/>
                <w:sz w:val="24"/>
                <w:szCs w:val="24"/>
              </w:rPr>
              <w:t>2</w:t>
            </w:r>
          </w:p>
        </w:tc>
        <w:tc>
          <w:tcPr>
            <w:tcW w:w="2174" w:type="dxa"/>
            <w:vAlign w:val="center"/>
          </w:tcPr>
          <w:p w:rsidR="000E7D14" w:rsidP="00AC0AE4">
            <w:pPr>
              <w:spacing w:line="240" w:lineRule="auto"/>
              <w:jc w:val="left"/>
              <w:rPr>
                <w:rFonts w:asciiTheme="minorEastAsia" w:eastAsiaTheme="minorEastAsia" w:hAnsiTheme="minorEastAsia" w:cs="Times New Roman Regular"/>
                <w:sz w:val="24"/>
                <w:szCs w:val="24"/>
              </w:rPr>
            </w:pPr>
            <w:r>
              <w:rPr>
                <w:rFonts w:asciiTheme="minorEastAsia" w:eastAsiaTheme="minorEastAsia" w:hAnsiTheme="minorEastAsia" w:cs="Times New Roman Regular"/>
                <w:sz w:val="24"/>
                <w:szCs w:val="24"/>
              </w:rPr>
              <w:t>加油加气站</w:t>
            </w:r>
          </w:p>
        </w:tc>
        <w:tc>
          <w:tcPr>
            <w:tcW w:w="1406" w:type="dxa"/>
            <w:vAlign w:val="center"/>
          </w:tcPr>
          <w:p w:rsidR="000E7D14" w:rsidP="00AC0AE4">
            <w:pPr>
              <w:spacing w:line="240" w:lineRule="auto"/>
              <w:jc w:val="center"/>
              <w:rPr>
                <w:rFonts w:asciiTheme="minorEastAsia" w:eastAsiaTheme="minorEastAsia" w:hAnsiTheme="minorEastAsia" w:cs="Times New Roman Regular"/>
                <w:sz w:val="24"/>
                <w:szCs w:val="24"/>
              </w:rPr>
            </w:pPr>
            <w:r>
              <w:rPr>
                <w:rFonts w:asciiTheme="minorEastAsia" w:eastAsiaTheme="minorEastAsia" w:hAnsiTheme="minorEastAsia" w:cs="Times New Roman Regular"/>
                <w:sz w:val="24"/>
                <w:szCs w:val="24"/>
              </w:rPr>
              <w:t>四期</w:t>
            </w:r>
          </w:p>
        </w:tc>
        <w:tc>
          <w:tcPr>
            <w:tcW w:w="4512" w:type="dxa"/>
            <w:vAlign w:val="center"/>
          </w:tcPr>
          <w:p w:rsidR="000E7D14" w:rsidP="00AC0AE4">
            <w:pPr>
              <w:spacing w:line="240" w:lineRule="auto"/>
              <w:rPr>
                <w:rFonts w:asciiTheme="minorEastAsia" w:eastAsiaTheme="minorEastAsia" w:hAnsiTheme="minorEastAsia" w:cs="Times New Roman Regular"/>
                <w:sz w:val="24"/>
                <w:szCs w:val="24"/>
              </w:rPr>
            </w:pPr>
            <w:r>
              <w:rPr>
                <w:rFonts w:asciiTheme="minorEastAsia" w:eastAsiaTheme="minorEastAsia" w:hAnsiTheme="minorEastAsia" w:cs="Times New Roman Regular"/>
                <w:sz w:val="24"/>
                <w:szCs w:val="24"/>
              </w:rPr>
              <w:t>建设1座加油站和1座加气站</w:t>
            </w:r>
            <w:r>
              <w:rPr>
                <w:rFonts w:asciiTheme="minorEastAsia" w:eastAsiaTheme="minorEastAsia" w:hAnsiTheme="minorEastAsia" w:cs="Times New Roman Regular" w:hint="eastAsia"/>
                <w:sz w:val="24"/>
                <w:szCs w:val="24"/>
              </w:rPr>
              <w:t>。</w:t>
            </w:r>
          </w:p>
        </w:tc>
        <w:tc>
          <w:tcPr>
            <w:tcW w:w="1305" w:type="dxa"/>
            <w:vAlign w:val="center"/>
          </w:tcPr>
          <w:p w:rsidR="000E7D14" w:rsidP="00AC0AE4">
            <w:pPr>
              <w:spacing w:line="240" w:lineRule="auto"/>
              <w:jc w:val="center"/>
              <w:rPr>
                <w:rFonts w:asciiTheme="minorEastAsia" w:eastAsiaTheme="minorEastAsia" w:hAnsiTheme="minorEastAsia" w:cs="Times New Roman Regular"/>
                <w:sz w:val="24"/>
                <w:szCs w:val="24"/>
              </w:rPr>
            </w:pPr>
            <w:r>
              <w:rPr>
                <w:rFonts w:asciiTheme="minorEastAsia" w:eastAsiaTheme="minorEastAsia" w:hAnsiTheme="minorEastAsia" w:cs="Times New Roman Regular"/>
                <w:sz w:val="24"/>
                <w:szCs w:val="24"/>
              </w:rPr>
              <w:t>3721</w:t>
            </w:r>
          </w:p>
        </w:tc>
        <w:tc>
          <w:tcPr>
            <w:tcW w:w="1304" w:type="dxa"/>
            <w:vAlign w:val="center"/>
          </w:tcPr>
          <w:p w:rsidR="000E7D14" w:rsidP="00AC0AE4">
            <w:pPr>
              <w:spacing w:line="240" w:lineRule="auto"/>
              <w:jc w:val="center"/>
              <w:rPr>
                <w:rFonts w:asciiTheme="minorEastAsia" w:eastAsiaTheme="minorEastAsia" w:hAnsiTheme="minorEastAsia" w:cs="Times New Roman Regular"/>
                <w:sz w:val="24"/>
                <w:szCs w:val="24"/>
              </w:rPr>
            </w:pPr>
            <w:r>
              <w:rPr>
                <w:rFonts w:asciiTheme="minorEastAsia" w:eastAsiaTheme="minorEastAsia" w:hAnsiTheme="minorEastAsia" w:cs="Times New Roman Regular"/>
                <w:sz w:val="24"/>
                <w:szCs w:val="24"/>
              </w:rPr>
              <w:t>2021</w:t>
            </w:r>
          </w:p>
        </w:tc>
      </w:tr>
      <w:tr w:rsidTr="00AC0AE4">
        <w:tblPrEx>
          <w:tblW w:w="13043" w:type="dxa"/>
          <w:jc w:val="center"/>
          <w:tblLayout w:type="fixed"/>
          <w:tblLook w:val="04A0"/>
        </w:tblPrEx>
        <w:trPr>
          <w:trHeight w:val="510"/>
          <w:jc w:val="center"/>
        </w:trPr>
        <w:tc>
          <w:tcPr>
            <w:tcW w:w="1655" w:type="dxa"/>
            <w:vMerge/>
            <w:vAlign w:val="center"/>
          </w:tcPr>
          <w:p w:rsidR="000E7D14" w:rsidP="00AC0AE4">
            <w:pPr>
              <w:spacing w:line="240" w:lineRule="auto"/>
              <w:rPr>
                <w:rFonts w:asciiTheme="minorEastAsia" w:eastAsiaTheme="minorEastAsia" w:hAnsiTheme="minorEastAsia" w:cs="Times New Roman Regular"/>
                <w:sz w:val="24"/>
                <w:szCs w:val="24"/>
              </w:rPr>
            </w:pPr>
          </w:p>
        </w:tc>
        <w:tc>
          <w:tcPr>
            <w:tcW w:w="687" w:type="dxa"/>
            <w:vAlign w:val="center"/>
          </w:tcPr>
          <w:p w:rsidR="000E7D14" w:rsidP="00AC0AE4">
            <w:pPr>
              <w:spacing w:line="240" w:lineRule="auto"/>
              <w:jc w:val="center"/>
              <w:rPr>
                <w:rFonts w:asciiTheme="minorEastAsia" w:eastAsiaTheme="minorEastAsia" w:hAnsiTheme="minorEastAsia" w:cs="Times New Roman Regular"/>
                <w:sz w:val="24"/>
                <w:szCs w:val="24"/>
                <w:highlight w:val="yellow"/>
              </w:rPr>
            </w:pPr>
            <w:r>
              <w:rPr>
                <w:rFonts w:asciiTheme="minorEastAsia" w:eastAsiaTheme="minorEastAsia" w:hAnsiTheme="minorEastAsia" w:cs="Times New Roman Regular"/>
                <w:sz w:val="24"/>
                <w:szCs w:val="24"/>
              </w:rPr>
              <w:t>3</w:t>
            </w:r>
          </w:p>
        </w:tc>
        <w:tc>
          <w:tcPr>
            <w:tcW w:w="2174" w:type="dxa"/>
          </w:tcPr>
          <w:p w:rsidR="000E7D14" w:rsidP="00AC0AE4">
            <w:pPr>
              <w:rPr>
                <w:rFonts w:asciiTheme="minorEastAsia" w:eastAsiaTheme="minorEastAsia" w:hAnsiTheme="minorEastAsia" w:cs="Times New Roman Regular"/>
                <w:sz w:val="24"/>
                <w:szCs w:val="24"/>
              </w:rPr>
            </w:pPr>
            <w:r>
              <w:rPr>
                <w:rFonts w:asciiTheme="minorEastAsia" w:eastAsiaTheme="minorEastAsia" w:hAnsiTheme="minorEastAsia" w:cs="Times New Roman Regular" w:hint="eastAsia"/>
                <w:sz w:val="24"/>
                <w:szCs w:val="24"/>
              </w:rPr>
              <w:t>交通污染防治</w:t>
            </w:r>
          </w:p>
        </w:tc>
        <w:tc>
          <w:tcPr>
            <w:tcW w:w="1406" w:type="dxa"/>
          </w:tcPr>
          <w:p w:rsidR="000E7D14" w:rsidP="00AC0AE4">
            <w:pPr>
              <w:spacing w:line="240" w:lineRule="auto"/>
              <w:jc w:val="center"/>
              <w:rPr>
                <w:rFonts w:asciiTheme="minorEastAsia" w:eastAsiaTheme="minorEastAsia" w:hAnsiTheme="minorEastAsia" w:cs="Times New Roman Regular"/>
                <w:sz w:val="24"/>
                <w:szCs w:val="24"/>
              </w:rPr>
            </w:pPr>
            <w:r>
              <w:rPr>
                <w:rFonts w:asciiTheme="minorEastAsia" w:eastAsiaTheme="minorEastAsia" w:hAnsiTheme="minorEastAsia" w:cs="Times New Roman Regular" w:hint="eastAsia"/>
                <w:sz w:val="24"/>
                <w:szCs w:val="24"/>
              </w:rPr>
              <w:t>太仓市交运局</w:t>
            </w:r>
          </w:p>
        </w:tc>
        <w:tc>
          <w:tcPr>
            <w:tcW w:w="4512" w:type="dxa"/>
          </w:tcPr>
          <w:p w:rsidR="000E7D14" w:rsidP="00AC0AE4">
            <w:pPr>
              <w:spacing w:line="240" w:lineRule="auto"/>
              <w:rPr>
                <w:rFonts w:asciiTheme="minorEastAsia" w:eastAsiaTheme="minorEastAsia" w:hAnsiTheme="minorEastAsia" w:cs="Times New Roman Regular"/>
                <w:sz w:val="24"/>
                <w:szCs w:val="24"/>
              </w:rPr>
            </w:pPr>
            <w:r>
              <w:rPr>
                <w:rFonts w:asciiTheme="minorEastAsia" w:eastAsiaTheme="minorEastAsia" w:hAnsiTheme="minorEastAsia" w:cs="Times New Roman Regular" w:hint="eastAsia"/>
                <w:sz w:val="24"/>
                <w:szCs w:val="24"/>
              </w:rPr>
              <w:t>加大新能源车辆在公交领域的应用，新增更新新能源公交车70辆以上。</w:t>
            </w:r>
          </w:p>
        </w:tc>
        <w:tc>
          <w:tcPr>
            <w:tcW w:w="1305" w:type="dxa"/>
          </w:tcPr>
          <w:p w:rsidR="000E7D14" w:rsidP="00AC0AE4">
            <w:pPr>
              <w:jc w:val="center"/>
              <w:rPr>
                <w:rFonts w:asciiTheme="minorEastAsia" w:eastAsiaTheme="minorEastAsia" w:hAnsiTheme="minorEastAsia" w:cs="Times New Roman Regular"/>
                <w:sz w:val="24"/>
                <w:szCs w:val="24"/>
              </w:rPr>
            </w:pPr>
            <w:r>
              <w:rPr>
                <w:rFonts w:asciiTheme="minorEastAsia" w:eastAsiaTheme="minorEastAsia" w:hAnsiTheme="minorEastAsia" w:cs="Times New Roman Regular" w:hint="eastAsia"/>
                <w:sz w:val="24"/>
                <w:szCs w:val="24"/>
              </w:rPr>
              <w:t>7000</w:t>
            </w:r>
          </w:p>
        </w:tc>
        <w:tc>
          <w:tcPr>
            <w:tcW w:w="1304" w:type="dxa"/>
          </w:tcPr>
          <w:p w:rsidR="000E7D14" w:rsidP="00AC0AE4">
            <w:pPr>
              <w:rPr>
                <w:rFonts w:asciiTheme="minorEastAsia" w:eastAsiaTheme="minorEastAsia" w:hAnsiTheme="minorEastAsia" w:cs="Times New Roman Regular"/>
                <w:sz w:val="24"/>
                <w:szCs w:val="24"/>
              </w:rPr>
            </w:pPr>
            <w:r>
              <w:rPr>
                <w:rFonts w:asciiTheme="minorEastAsia" w:eastAsiaTheme="minorEastAsia" w:hAnsiTheme="minorEastAsia" w:cs="Times New Roman Regular"/>
                <w:sz w:val="24"/>
                <w:szCs w:val="24"/>
              </w:rPr>
              <w:t>2021-2025</w:t>
            </w:r>
          </w:p>
        </w:tc>
      </w:tr>
      <w:tr w:rsidTr="00AC0AE4">
        <w:tblPrEx>
          <w:tblW w:w="13043" w:type="dxa"/>
          <w:jc w:val="center"/>
          <w:tblLayout w:type="fixed"/>
          <w:tblLook w:val="04A0"/>
        </w:tblPrEx>
        <w:trPr>
          <w:trHeight w:val="510"/>
          <w:jc w:val="center"/>
        </w:trPr>
        <w:tc>
          <w:tcPr>
            <w:tcW w:w="1655" w:type="dxa"/>
            <w:vMerge/>
            <w:vAlign w:val="center"/>
          </w:tcPr>
          <w:p w:rsidR="000E7D14" w:rsidP="00AC0AE4">
            <w:pPr>
              <w:spacing w:line="240" w:lineRule="auto"/>
              <w:rPr>
                <w:rFonts w:asciiTheme="minorEastAsia" w:eastAsiaTheme="minorEastAsia" w:hAnsiTheme="minorEastAsia" w:cs="Times New Roman Regular"/>
                <w:sz w:val="24"/>
                <w:szCs w:val="24"/>
              </w:rPr>
            </w:pPr>
          </w:p>
        </w:tc>
        <w:tc>
          <w:tcPr>
            <w:tcW w:w="687" w:type="dxa"/>
            <w:vAlign w:val="center"/>
          </w:tcPr>
          <w:p w:rsidR="000E7D14" w:rsidP="00AC0AE4">
            <w:pPr>
              <w:spacing w:line="240" w:lineRule="auto"/>
              <w:jc w:val="center"/>
              <w:rPr>
                <w:rFonts w:asciiTheme="minorEastAsia" w:eastAsiaTheme="minorEastAsia" w:hAnsiTheme="minorEastAsia" w:cs="Times New Roman Regular"/>
                <w:sz w:val="24"/>
                <w:szCs w:val="24"/>
              </w:rPr>
            </w:pPr>
            <w:r>
              <w:rPr>
                <w:rFonts w:asciiTheme="minorEastAsia" w:eastAsiaTheme="minorEastAsia" w:hAnsiTheme="minorEastAsia" w:cs="Times New Roman Regular"/>
                <w:sz w:val="24"/>
                <w:szCs w:val="24"/>
              </w:rPr>
              <w:t>4</w:t>
            </w:r>
          </w:p>
        </w:tc>
        <w:tc>
          <w:tcPr>
            <w:tcW w:w="2174" w:type="dxa"/>
            <w:vAlign w:val="center"/>
          </w:tcPr>
          <w:p w:rsidR="000E7D14" w:rsidP="00AC0AE4">
            <w:pPr>
              <w:spacing w:line="240" w:lineRule="auto"/>
              <w:jc w:val="left"/>
              <w:rPr>
                <w:rFonts w:asciiTheme="minorEastAsia" w:eastAsiaTheme="minorEastAsia" w:hAnsiTheme="minorEastAsia" w:cs="Times New Roman Regular"/>
                <w:sz w:val="24"/>
                <w:szCs w:val="24"/>
              </w:rPr>
            </w:pPr>
            <w:r>
              <w:rPr>
                <w:rFonts w:asciiTheme="minorEastAsia" w:eastAsiaTheme="minorEastAsia" w:hAnsiTheme="minorEastAsia" w:cs="Times New Roman Regular"/>
                <w:iCs/>
                <w:color w:val="0D0D0D"/>
                <w:sz w:val="24"/>
                <w:szCs w:val="24"/>
              </w:rPr>
              <w:t>重点行业整治</w:t>
            </w:r>
          </w:p>
        </w:tc>
        <w:tc>
          <w:tcPr>
            <w:tcW w:w="1406" w:type="dxa"/>
            <w:vAlign w:val="center"/>
          </w:tcPr>
          <w:p w:rsidR="000E7D14" w:rsidP="00AC0AE4">
            <w:pPr>
              <w:spacing w:line="240" w:lineRule="auto"/>
              <w:jc w:val="center"/>
              <w:rPr>
                <w:rFonts w:asciiTheme="minorEastAsia" w:eastAsiaTheme="minorEastAsia" w:hAnsiTheme="minorEastAsia" w:cs="Times New Roman Regular"/>
                <w:sz w:val="24"/>
                <w:szCs w:val="24"/>
              </w:rPr>
            </w:pPr>
            <w:r>
              <w:rPr>
                <w:rFonts w:asciiTheme="minorEastAsia" w:eastAsiaTheme="minorEastAsia" w:hAnsiTheme="minorEastAsia" w:cs="Times New Roman Regular"/>
                <w:color w:val="0D0D0D"/>
                <w:sz w:val="24"/>
                <w:szCs w:val="24"/>
              </w:rPr>
              <w:t>太仓市人民政府</w:t>
            </w:r>
          </w:p>
        </w:tc>
        <w:tc>
          <w:tcPr>
            <w:tcW w:w="4512" w:type="dxa"/>
            <w:vAlign w:val="center"/>
          </w:tcPr>
          <w:p w:rsidR="000E7D14" w:rsidP="00AC0AE4">
            <w:pPr>
              <w:spacing w:line="240" w:lineRule="auto"/>
              <w:rPr>
                <w:rFonts w:asciiTheme="minorEastAsia" w:eastAsiaTheme="minorEastAsia" w:hAnsiTheme="minorEastAsia" w:cs="Times New Roman Regular"/>
                <w:sz w:val="24"/>
                <w:szCs w:val="24"/>
              </w:rPr>
            </w:pPr>
            <w:r>
              <w:rPr>
                <w:rFonts w:asciiTheme="minorEastAsia" w:eastAsiaTheme="minorEastAsia" w:hAnsiTheme="minorEastAsia" w:cs="Times New Roman Regular"/>
                <w:color w:val="0D0D0D"/>
                <w:sz w:val="24"/>
                <w:szCs w:val="24"/>
              </w:rPr>
              <w:t>全面完成化工、印染、电镀等行业的整治，下大力气全面整治“散乱污”企业，从源头上减少污染物产生和排放。</w:t>
            </w:r>
          </w:p>
        </w:tc>
        <w:tc>
          <w:tcPr>
            <w:tcW w:w="1305" w:type="dxa"/>
            <w:vAlign w:val="center"/>
          </w:tcPr>
          <w:p w:rsidR="000E7D14" w:rsidP="00AC0AE4">
            <w:pPr>
              <w:spacing w:line="240" w:lineRule="auto"/>
              <w:jc w:val="center"/>
              <w:rPr>
                <w:rFonts w:asciiTheme="minorEastAsia" w:eastAsiaTheme="minorEastAsia" w:hAnsiTheme="minorEastAsia" w:cs="Times New Roman Regular"/>
                <w:sz w:val="24"/>
                <w:szCs w:val="24"/>
              </w:rPr>
            </w:pPr>
            <w:r>
              <w:rPr>
                <w:rFonts w:asciiTheme="minorEastAsia" w:eastAsiaTheme="minorEastAsia" w:hAnsiTheme="minorEastAsia" w:cs="Times New Roman Regular"/>
                <w:sz w:val="24"/>
                <w:szCs w:val="24"/>
              </w:rPr>
              <w:t>410</w:t>
            </w:r>
          </w:p>
        </w:tc>
        <w:tc>
          <w:tcPr>
            <w:tcW w:w="1304" w:type="dxa"/>
            <w:vAlign w:val="center"/>
          </w:tcPr>
          <w:p w:rsidR="000E7D14" w:rsidP="00AC0AE4">
            <w:pPr>
              <w:spacing w:line="240" w:lineRule="auto"/>
              <w:jc w:val="center"/>
              <w:rPr>
                <w:rFonts w:asciiTheme="minorEastAsia" w:eastAsiaTheme="minorEastAsia" w:hAnsiTheme="minorEastAsia" w:cs="Times New Roman Regular"/>
                <w:sz w:val="24"/>
                <w:szCs w:val="24"/>
              </w:rPr>
            </w:pPr>
            <w:r>
              <w:rPr>
                <w:rFonts w:asciiTheme="minorEastAsia" w:eastAsiaTheme="minorEastAsia" w:hAnsiTheme="minorEastAsia" w:cs="Times New Roman Regular"/>
                <w:sz w:val="24"/>
                <w:szCs w:val="24"/>
              </w:rPr>
              <w:t>2020-2025</w:t>
            </w:r>
          </w:p>
        </w:tc>
      </w:tr>
      <w:tr w:rsidTr="00AC0AE4">
        <w:tblPrEx>
          <w:tblW w:w="13043" w:type="dxa"/>
          <w:jc w:val="center"/>
          <w:tblLayout w:type="fixed"/>
          <w:tblLook w:val="04A0"/>
        </w:tblPrEx>
        <w:trPr>
          <w:trHeight w:val="510"/>
          <w:jc w:val="center"/>
        </w:trPr>
        <w:tc>
          <w:tcPr>
            <w:tcW w:w="1655" w:type="dxa"/>
            <w:vMerge/>
            <w:vAlign w:val="center"/>
          </w:tcPr>
          <w:p w:rsidR="000E7D14" w:rsidP="00AC0AE4">
            <w:pPr>
              <w:spacing w:line="240" w:lineRule="auto"/>
              <w:rPr>
                <w:rFonts w:asciiTheme="minorEastAsia" w:eastAsiaTheme="minorEastAsia" w:hAnsiTheme="minorEastAsia" w:cs="Times New Roman Regular"/>
                <w:sz w:val="24"/>
                <w:szCs w:val="24"/>
              </w:rPr>
            </w:pPr>
          </w:p>
        </w:tc>
        <w:tc>
          <w:tcPr>
            <w:tcW w:w="687" w:type="dxa"/>
            <w:vAlign w:val="center"/>
          </w:tcPr>
          <w:p w:rsidR="000E7D14" w:rsidP="00AC0AE4">
            <w:pPr>
              <w:spacing w:line="240" w:lineRule="auto"/>
              <w:jc w:val="center"/>
              <w:rPr>
                <w:rFonts w:asciiTheme="minorEastAsia" w:eastAsiaTheme="minorEastAsia" w:hAnsiTheme="minorEastAsia" w:cs="Times New Roman Regular"/>
                <w:sz w:val="24"/>
                <w:szCs w:val="24"/>
              </w:rPr>
            </w:pPr>
            <w:r>
              <w:rPr>
                <w:rFonts w:asciiTheme="minorEastAsia" w:eastAsiaTheme="minorEastAsia" w:hAnsiTheme="minorEastAsia" w:cs="Times New Roman Regular"/>
                <w:sz w:val="24"/>
                <w:szCs w:val="24"/>
              </w:rPr>
              <w:t>5</w:t>
            </w:r>
          </w:p>
        </w:tc>
        <w:tc>
          <w:tcPr>
            <w:tcW w:w="2174" w:type="dxa"/>
            <w:vAlign w:val="center"/>
          </w:tcPr>
          <w:p w:rsidR="000E7D14" w:rsidP="00AC0AE4">
            <w:pPr>
              <w:spacing w:line="240" w:lineRule="auto"/>
              <w:jc w:val="left"/>
              <w:rPr>
                <w:rFonts w:asciiTheme="minorEastAsia" w:eastAsiaTheme="minorEastAsia" w:hAnsiTheme="minorEastAsia" w:cs="Times New Roman Regular"/>
                <w:sz w:val="24"/>
                <w:szCs w:val="24"/>
              </w:rPr>
            </w:pPr>
            <w:r>
              <w:rPr>
                <w:rFonts w:asciiTheme="minorEastAsia" w:eastAsiaTheme="minorEastAsia" w:hAnsiTheme="minorEastAsia" w:cs="Times New Roman Regular"/>
                <w:color w:val="0D0D0D"/>
                <w:sz w:val="24"/>
                <w:szCs w:val="24"/>
              </w:rPr>
              <w:t>移动源污染治理项目</w:t>
            </w:r>
          </w:p>
        </w:tc>
        <w:tc>
          <w:tcPr>
            <w:tcW w:w="1406" w:type="dxa"/>
            <w:vAlign w:val="center"/>
          </w:tcPr>
          <w:p w:rsidR="000E7D14" w:rsidP="00AC0AE4">
            <w:pPr>
              <w:spacing w:line="240" w:lineRule="auto"/>
              <w:jc w:val="center"/>
              <w:rPr>
                <w:rFonts w:asciiTheme="minorEastAsia" w:eastAsiaTheme="minorEastAsia" w:hAnsiTheme="minorEastAsia" w:cs="Times New Roman Regular"/>
                <w:sz w:val="24"/>
                <w:szCs w:val="24"/>
              </w:rPr>
            </w:pPr>
            <w:r>
              <w:rPr>
                <w:rFonts w:asciiTheme="minorEastAsia" w:eastAsiaTheme="minorEastAsia" w:hAnsiTheme="minorEastAsia" w:cs="Times New Roman Regular"/>
                <w:color w:val="0D0D0D"/>
                <w:sz w:val="24"/>
                <w:szCs w:val="24"/>
              </w:rPr>
              <w:t>太仓生态环境局</w:t>
            </w:r>
          </w:p>
        </w:tc>
        <w:tc>
          <w:tcPr>
            <w:tcW w:w="4512" w:type="dxa"/>
            <w:vAlign w:val="center"/>
          </w:tcPr>
          <w:p w:rsidR="000E7D14" w:rsidP="00AC0AE4">
            <w:pPr>
              <w:spacing w:line="240" w:lineRule="auto"/>
              <w:rPr>
                <w:rFonts w:asciiTheme="minorEastAsia" w:eastAsiaTheme="minorEastAsia" w:hAnsiTheme="minorEastAsia" w:cs="Times New Roman Regular"/>
                <w:sz w:val="24"/>
                <w:szCs w:val="24"/>
              </w:rPr>
            </w:pPr>
            <w:r>
              <w:rPr>
                <w:rFonts w:asciiTheme="minorEastAsia" w:eastAsiaTheme="minorEastAsia" w:hAnsiTheme="minorEastAsia" w:cs="Times New Roman Regular"/>
                <w:color w:val="0D0D0D"/>
                <w:sz w:val="24"/>
                <w:szCs w:val="24"/>
              </w:rPr>
              <w:t>对全市国</w:t>
            </w:r>
            <w:r>
              <w:rPr>
                <w:rFonts w:asciiTheme="minorEastAsia" w:eastAsiaTheme="minorEastAsia" w:hAnsiTheme="minorEastAsia" w:cs="Times New Roman Regular" w:hint="eastAsia"/>
                <w:color w:val="0D0D0D"/>
                <w:sz w:val="24"/>
                <w:szCs w:val="24"/>
              </w:rPr>
              <w:t>Ⅲ</w:t>
            </w:r>
            <w:r>
              <w:rPr>
                <w:rFonts w:asciiTheme="minorEastAsia" w:eastAsiaTheme="minorEastAsia" w:hAnsiTheme="minorEastAsia" w:cs="Times New Roman Regular"/>
                <w:color w:val="0D0D0D"/>
                <w:sz w:val="24"/>
                <w:szCs w:val="24"/>
              </w:rPr>
              <w:t>及以下柴油车开展淘汰以旧换新。</w:t>
            </w:r>
          </w:p>
        </w:tc>
        <w:tc>
          <w:tcPr>
            <w:tcW w:w="1305" w:type="dxa"/>
            <w:vAlign w:val="center"/>
          </w:tcPr>
          <w:p w:rsidR="000E7D14" w:rsidP="00AC0AE4">
            <w:pPr>
              <w:spacing w:line="240" w:lineRule="auto"/>
              <w:jc w:val="center"/>
              <w:rPr>
                <w:rFonts w:asciiTheme="minorEastAsia" w:eastAsiaTheme="minorEastAsia" w:hAnsiTheme="minorEastAsia" w:cs="Times New Roman Regular"/>
                <w:sz w:val="24"/>
                <w:szCs w:val="24"/>
              </w:rPr>
            </w:pPr>
            <w:r>
              <w:rPr>
                <w:rFonts w:asciiTheme="minorEastAsia" w:eastAsiaTheme="minorEastAsia" w:hAnsiTheme="minorEastAsia" w:cs="Times New Roman Regular"/>
                <w:sz w:val="24"/>
                <w:szCs w:val="24"/>
              </w:rPr>
              <w:t>10000</w:t>
            </w:r>
          </w:p>
        </w:tc>
        <w:tc>
          <w:tcPr>
            <w:tcW w:w="1304" w:type="dxa"/>
            <w:vAlign w:val="center"/>
          </w:tcPr>
          <w:p w:rsidR="000E7D14" w:rsidP="00AC0AE4">
            <w:pPr>
              <w:spacing w:line="240" w:lineRule="auto"/>
              <w:jc w:val="center"/>
              <w:rPr>
                <w:rFonts w:asciiTheme="minorEastAsia" w:eastAsiaTheme="minorEastAsia" w:hAnsiTheme="minorEastAsia" w:cs="Times New Roman Regular"/>
                <w:sz w:val="24"/>
                <w:szCs w:val="24"/>
              </w:rPr>
            </w:pPr>
            <w:r>
              <w:rPr>
                <w:rFonts w:asciiTheme="minorEastAsia" w:eastAsiaTheme="minorEastAsia" w:hAnsiTheme="minorEastAsia" w:cs="Times New Roman Regular"/>
                <w:sz w:val="24"/>
                <w:szCs w:val="24"/>
              </w:rPr>
              <w:t>2021-2025</w:t>
            </w:r>
          </w:p>
        </w:tc>
      </w:tr>
      <w:tr w:rsidTr="00AC0AE4">
        <w:tblPrEx>
          <w:tblW w:w="13043" w:type="dxa"/>
          <w:jc w:val="center"/>
          <w:tblLayout w:type="fixed"/>
          <w:tblLook w:val="04A0"/>
        </w:tblPrEx>
        <w:trPr>
          <w:trHeight w:val="1834"/>
          <w:jc w:val="center"/>
        </w:trPr>
        <w:tc>
          <w:tcPr>
            <w:tcW w:w="1655" w:type="dxa"/>
            <w:vMerge/>
            <w:vAlign w:val="center"/>
          </w:tcPr>
          <w:p w:rsidR="000E7D14" w:rsidP="00AC0AE4">
            <w:pPr>
              <w:spacing w:line="240" w:lineRule="auto"/>
              <w:rPr>
                <w:rFonts w:asciiTheme="minorEastAsia" w:eastAsiaTheme="minorEastAsia" w:hAnsiTheme="minorEastAsia" w:cs="Times New Roman Regular"/>
                <w:sz w:val="24"/>
                <w:szCs w:val="24"/>
              </w:rPr>
            </w:pPr>
          </w:p>
        </w:tc>
        <w:tc>
          <w:tcPr>
            <w:tcW w:w="687" w:type="dxa"/>
            <w:vAlign w:val="center"/>
          </w:tcPr>
          <w:p w:rsidR="000E7D14" w:rsidP="00AC0AE4">
            <w:pPr>
              <w:spacing w:line="240" w:lineRule="auto"/>
              <w:jc w:val="center"/>
              <w:rPr>
                <w:rFonts w:asciiTheme="minorEastAsia" w:eastAsiaTheme="minorEastAsia" w:hAnsiTheme="minorEastAsia" w:cs="Times New Roman Regular"/>
                <w:sz w:val="24"/>
                <w:szCs w:val="24"/>
              </w:rPr>
            </w:pPr>
            <w:r>
              <w:rPr>
                <w:rFonts w:asciiTheme="minorEastAsia" w:eastAsiaTheme="minorEastAsia" w:hAnsiTheme="minorEastAsia" w:cs="Times New Roman Regular"/>
                <w:sz w:val="24"/>
                <w:szCs w:val="24"/>
              </w:rPr>
              <w:t>6</w:t>
            </w:r>
          </w:p>
        </w:tc>
        <w:tc>
          <w:tcPr>
            <w:tcW w:w="2174" w:type="dxa"/>
            <w:vAlign w:val="center"/>
          </w:tcPr>
          <w:p w:rsidR="000E7D14" w:rsidP="00AC0AE4">
            <w:pPr>
              <w:spacing w:line="240" w:lineRule="auto"/>
              <w:jc w:val="left"/>
              <w:rPr>
                <w:rFonts w:asciiTheme="minorEastAsia" w:eastAsiaTheme="minorEastAsia" w:hAnsiTheme="minorEastAsia" w:cs="Times New Roman Regular"/>
                <w:sz w:val="24"/>
                <w:szCs w:val="24"/>
              </w:rPr>
            </w:pPr>
            <w:r>
              <w:rPr>
                <w:rFonts w:asciiTheme="minorEastAsia" w:eastAsiaTheme="minorEastAsia" w:hAnsiTheme="minorEastAsia" w:cs="Times New Roman Regular"/>
                <w:color w:val="0D0D0D"/>
                <w:sz w:val="24"/>
                <w:szCs w:val="24"/>
              </w:rPr>
              <w:t>挥发性有机物治理</w:t>
            </w:r>
          </w:p>
        </w:tc>
        <w:tc>
          <w:tcPr>
            <w:tcW w:w="1406" w:type="dxa"/>
            <w:vAlign w:val="center"/>
          </w:tcPr>
          <w:p w:rsidR="000E7D14" w:rsidP="00AC0AE4">
            <w:pPr>
              <w:spacing w:line="240" w:lineRule="auto"/>
              <w:jc w:val="center"/>
              <w:rPr>
                <w:rFonts w:asciiTheme="minorEastAsia" w:eastAsiaTheme="minorEastAsia" w:hAnsiTheme="minorEastAsia" w:cs="Times New Roman Regular"/>
                <w:sz w:val="24"/>
                <w:szCs w:val="24"/>
              </w:rPr>
            </w:pPr>
            <w:r>
              <w:rPr>
                <w:rFonts w:asciiTheme="minorEastAsia" w:eastAsiaTheme="minorEastAsia" w:hAnsiTheme="minorEastAsia" w:cs="Times New Roman Regular"/>
                <w:color w:val="0D0D0D"/>
                <w:sz w:val="24"/>
                <w:szCs w:val="24"/>
              </w:rPr>
              <w:t>太仓生态环境局，各相关企业</w:t>
            </w:r>
          </w:p>
        </w:tc>
        <w:tc>
          <w:tcPr>
            <w:tcW w:w="4512" w:type="dxa"/>
            <w:vAlign w:val="center"/>
          </w:tcPr>
          <w:p w:rsidR="000E7D14" w:rsidP="00AC0AE4">
            <w:pPr>
              <w:spacing w:line="240" w:lineRule="auto"/>
              <w:rPr>
                <w:rFonts w:asciiTheme="minorEastAsia" w:eastAsiaTheme="minorEastAsia" w:hAnsiTheme="minorEastAsia" w:cs="Times New Roman Regular"/>
                <w:sz w:val="24"/>
                <w:szCs w:val="24"/>
              </w:rPr>
            </w:pPr>
            <w:r>
              <w:rPr>
                <w:rFonts w:asciiTheme="minorEastAsia" w:eastAsiaTheme="minorEastAsia" w:hAnsiTheme="minorEastAsia" w:cs="Times New Roman Regular"/>
                <w:color w:val="0D0D0D"/>
                <w:sz w:val="24"/>
                <w:szCs w:val="24"/>
              </w:rPr>
              <w:t>完成全市100家挥发性有机物排放重点企业生产全过程综合整治。</w:t>
            </w:r>
          </w:p>
        </w:tc>
        <w:tc>
          <w:tcPr>
            <w:tcW w:w="1305" w:type="dxa"/>
            <w:vAlign w:val="center"/>
          </w:tcPr>
          <w:p w:rsidR="000E7D14" w:rsidP="00AC0AE4">
            <w:pPr>
              <w:spacing w:line="240" w:lineRule="auto"/>
              <w:jc w:val="center"/>
              <w:rPr>
                <w:rFonts w:asciiTheme="minorEastAsia" w:eastAsiaTheme="minorEastAsia" w:hAnsiTheme="minorEastAsia" w:cs="Times New Roman Regular"/>
                <w:sz w:val="24"/>
                <w:szCs w:val="24"/>
              </w:rPr>
            </w:pPr>
            <w:r>
              <w:rPr>
                <w:rFonts w:asciiTheme="minorEastAsia" w:eastAsiaTheme="minorEastAsia" w:hAnsiTheme="minorEastAsia" w:cs="Times New Roman Regular"/>
                <w:sz w:val="24"/>
                <w:szCs w:val="24"/>
              </w:rPr>
              <w:t>2000</w:t>
            </w:r>
          </w:p>
        </w:tc>
        <w:tc>
          <w:tcPr>
            <w:tcW w:w="1304" w:type="dxa"/>
            <w:vAlign w:val="center"/>
          </w:tcPr>
          <w:p w:rsidR="000E7D14" w:rsidP="00AC0AE4">
            <w:pPr>
              <w:spacing w:line="240" w:lineRule="auto"/>
              <w:jc w:val="center"/>
              <w:rPr>
                <w:rFonts w:asciiTheme="minorEastAsia" w:eastAsiaTheme="minorEastAsia" w:hAnsiTheme="minorEastAsia" w:cs="Times New Roman Regular"/>
                <w:sz w:val="24"/>
                <w:szCs w:val="24"/>
              </w:rPr>
            </w:pPr>
            <w:r>
              <w:rPr>
                <w:rFonts w:asciiTheme="minorEastAsia" w:eastAsiaTheme="minorEastAsia" w:hAnsiTheme="minorEastAsia" w:cs="Times New Roman Regular"/>
                <w:sz w:val="24"/>
                <w:szCs w:val="24"/>
              </w:rPr>
              <w:t>2021-2022</w:t>
            </w:r>
          </w:p>
        </w:tc>
      </w:tr>
      <w:tr w:rsidTr="00AC0AE4">
        <w:tblPrEx>
          <w:tblW w:w="13043" w:type="dxa"/>
          <w:jc w:val="center"/>
          <w:tblLayout w:type="fixed"/>
          <w:tblLook w:val="04A0"/>
        </w:tblPrEx>
        <w:trPr>
          <w:trHeight w:val="510"/>
          <w:jc w:val="center"/>
        </w:trPr>
        <w:tc>
          <w:tcPr>
            <w:tcW w:w="1655" w:type="dxa"/>
            <w:vMerge w:val="restart"/>
            <w:vAlign w:val="center"/>
          </w:tcPr>
          <w:p w:rsidR="000E7D14" w:rsidP="00AC0AE4">
            <w:pPr>
              <w:spacing w:line="240" w:lineRule="auto"/>
              <w:rPr>
                <w:rFonts w:asciiTheme="minorEastAsia" w:eastAsiaTheme="minorEastAsia" w:hAnsiTheme="minorEastAsia" w:cs="Times New Roman Regular"/>
                <w:sz w:val="24"/>
                <w:szCs w:val="24"/>
              </w:rPr>
            </w:pPr>
            <w:r>
              <w:rPr>
                <w:rFonts w:asciiTheme="minorEastAsia" w:eastAsiaTheme="minorEastAsia" w:hAnsiTheme="minorEastAsia" w:cs="Times New Roman Regular"/>
                <w:sz w:val="24"/>
                <w:szCs w:val="24"/>
              </w:rPr>
              <w:t>二、水环境综合治理</w:t>
            </w:r>
          </w:p>
        </w:tc>
        <w:tc>
          <w:tcPr>
            <w:tcW w:w="687" w:type="dxa"/>
            <w:vAlign w:val="center"/>
          </w:tcPr>
          <w:p w:rsidR="000E7D14" w:rsidP="00AC0AE4">
            <w:pPr>
              <w:spacing w:line="240" w:lineRule="auto"/>
              <w:jc w:val="center"/>
              <w:rPr>
                <w:rFonts w:asciiTheme="minorEastAsia" w:eastAsiaTheme="minorEastAsia" w:hAnsiTheme="minorEastAsia" w:cs="Times New Roman Regular"/>
                <w:sz w:val="24"/>
                <w:szCs w:val="24"/>
                <w:highlight w:val="yellow"/>
              </w:rPr>
            </w:pPr>
            <w:r>
              <w:rPr>
                <w:rFonts w:asciiTheme="minorEastAsia" w:eastAsiaTheme="minorEastAsia" w:hAnsiTheme="minorEastAsia" w:cs="Times New Roman Regular"/>
                <w:sz w:val="24"/>
                <w:szCs w:val="24"/>
              </w:rPr>
              <w:t>7</w:t>
            </w:r>
          </w:p>
        </w:tc>
        <w:tc>
          <w:tcPr>
            <w:tcW w:w="2174" w:type="dxa"/>
            <w:vAlign w:val="center"/>
          </w:tcPr>
          <w:p w:rsidR="000E7D14" w:rsidP="00AC0AE4">
            <w:pPr>
              <w:spacing w:line="240" w:lineRule="auto"/>
              <w:rPr>
                <w:rFonts w:asciiTheme="minorEastAsia" w:eastAsiaTheme="minorEastAsia" w:hAnsiTheme="minorEastAsia" w:cs="Times New Roman Regular"/>
                <w:sz w:val="24"/>
                <w:szCs w:val="24"/>
              </w:rPr>
            </w:pPr>
            <w:r>
              <w:rPr>
                <w:rFonts w:asciiTheme="minorEastAsia" w:eastAsiaTheme="minorEastAsia" w:hAnsiTheme="minorEastAsia" w:cs="Times New Roman Regular"/>
                <w:sz w:val="24"/>
                <w:szCs w:val="24"/>
              </w:rPr>
              <w:t>太仓塑料助剂厂有限公司关停</w:t>
            </w:r>
          </w:p>
        </w:tc>
        <w:tc>
          <w:tcPr>
            <w:tcW w:w="1406" w:type="dxa"/>
            <w:vAlign w:val="center"/>
          </w:tcPr>
          <w:p w:rsidR="000E7D14" w:rsidP="00AC0AE4">
            <w:pPr>
              <w:spacing w:line="240" w:lineRule="auto"/>
              <w:jc w:val="center"/>
              <w:rPr>
                <w:rFonts w:asciiTheme="minorEastAsia" w:eastAsiaTheme="minorEastAsia" w:hAnsiTheme="minorEastAsia" w:cs="Times New Roman Regular"/>
                <w:sz w:val="24"/>
                <w:szCs w:val="24"/>
              </w:rPr>
            </w:pPr>
            <w:r>
              <w:rPr>
                <w:rFonts w:asciiTheme="minorEastAsia" w:eastAsiaTheme="minorEastAsia" w:hAnsiTheme="minorEastAsia" w:cs="Times New Roman Regular"/>
                <w:kern w:val="0"/>
                <w:sz w:val="24"/>
                <w:szCs w:val="24"/>
              </w:rPr>
              <w:t>港区</w:t>
            </w:r>
          </w:p>
        </w:tc>
        <w:tc>
          <w:tcPr>
            <w:tcW w:w="4512" w:type="dxa"/>
            <w:vAlign w:val="center"/>
          </w:tcPr>
          <w:p w:rsidR="000E7D14" w:rsidP="00AC0AE4">
            <w:pPr>
              <w:spacing w:line="240" w:lineRule="auto"/>
              <w:rPr>
                <w:rFonts w:asciiTheme="minorEastAsia" w:eastAsiaTheme="minorEastAsia" w:hAnsiTheme="minorEastAsia" w:cs="Times New Roman Regular"/>
                <w:sz w:val="24"/>
                <w:szCs w:val="24"/>
              </w:rPr>
            </w:pPr>
            <w:r>
              <w:rPr>
                <w:rFonts w:asciiTheme="minorEastAsia" w:eastAsiaTheme="minorEastAsia" w:hAnsiTheme="minorEastAsia" w:cs="Times New Roman Regular"/>
                <w:sz w:val="24"/>
                <w:szCs w:val="24"/>
              </w:rPr>
              <w:t>太仓塑料助剂厂有限公司（化工企业）关停</w:t>
            </w:r>
            <w:r>
              <w:rPr>
                <w:rFonts w:asciiTheme="minorEastAsia" w:eastAsiaTheme="minorEastAsia" w:hAnsiTheme="minorEastAsia" w:cs="Times New Roman Regular" w:hint="eastAsia"/>
                <w:sz w:val="24"/>
                <w:szCs w:val="24"/>
              </w:rPr>
              <w:t>。</w:t>
            </w:r>
          </w:p>
        </w:tc>
        <w:tc>
          <w:tcPr>
            <w:tcW w:w="1305" w:type="dxa"/>
            <w:vAlign w:val="center"/>
          </w:tcPr>
          <w:p w:rsidR="000E7D14" w:rsidP="00AC0AE4">
            <w:pPr>
              <w:spacing w:line="240" w:lineRule="auto"/>
              <w:jc w:val="center"/>
              <w:rPr>
                <w:rFonts w:asciiTheme="minorEastAsia" w:eastAsiaTheme="minorEastAsia" w:hAnsiTheme="minorEastAsia" w:cs="Times New Roman Regular"/>
                <w:sz w:val="24"/>
                <w:szCs w:val="24"/>
              </w:rPr>
            </w:pPr>
            <w:r>
              <w:rPr>
                <w:rFonts w:asciiTheme="minorEastAsia" w:eastAsiaTheme="minorEastAsia" w:hAnsiTheme="minorEastAsia" w:cs="Times New Roman Regular"/>
                <w:sz w:val="24"/>
                <w:szCs w:val="24"/>
              </w:rPr>
              <w:t>17000</w:t>
            </w:r>
          </w:p>
        </w:tc>
        <w:tc>
          <w:tcPr>
            <w:tcW w:w="1304" w:type="dxa"/>
            <w:vAlign w:val="center"/>
          </w:tcPr>
          <w:p w:rsidR="000E7D14" w:rsidP="00AC0AE4">
            <w:pPr>
              <w:spacing w:line="240" w:lineRule="auto"/>
              <w:jc w:val="center"/>
              <w:rPr>
                <w:rFonts w:asciiTheme="minorEastAsia" w:eastAsiaTheme="minorEastAsia" w:hAnsiTheme="minorEastAsia" w:cs="Times New Roman Regular"/>
                <w:sz w:val="24"/>
                <w:szCs w:val="24"/>
              </w:rPr>
            </w:pPr>
            <w:r>
              <w:rPr>
                <w:rFonts w:asciiTheme="minorEastAsia" w:eastAsiaTheme="minorEastAsia" w:hAnsiTheme="minorEastAsia" w:cs="Times New Roman Regular"/>
                <w:sz w:val="24"/>
                <w:szCs w:val="24"/>
              </w:rPr>
              <w:t>2021</w:t>
            </w:r>
          </w:p>
        </w:tc>
      </w:tr>
      <w:tr w:rsidTr="00AC0AE4">
        <w:tblPrEx>
          <w:tblW w:w="13043" w:type="dxa"/>
          <w:jc w:val="center"/>
          <w:tblLayout w:type="fixed"/>
          <w:tblLook w:val="04A0"/>
        </w:tblPrEx>
        <w:trPr>
          <w:trHeight w:val="510"/>
          <w:jc w:val="center"/>
        </w:trPr>
        <w:tc>
          <w:tcPr>
            <w:tcW w:w="1655" w:type="dxa"/>
            <w:vMerge/>
            <w:vAlign w:val="center"/>
          </w:tcPr>
          <w:p w:rsidR="000E7D14" w:rsidP="00AC0AE4">
            <w:pPr>
              <w:spacing w:line="240" w:lineRule="auto"/>
              <w:rPr>
                <w:rFonts w:asciiTheme="minorEastAsia" w:eastAsiaTheme="minorEastAsia" w:hAnsiTheme="minorEastAsia" w:cs="Times New Roman Regular"/>
                <w:sz w:val="24"/>
                <w:szCs w:val="24"/>
              </w:rPr>
            </w:pPr>
          </w:p>
        </w:tc>
        <w:tc>
          <w:tcPr>
            <w:tcW w:w="687" w:type="dxa"/>
            <w:vAlign w:val="center"/>
          </w:tcPr>
          <w:p w:rsidR="000E7D14" w:rsidP="00AC0AE4">
            <w:pPr>
              <w:spacing w:line="240" w:lineRule="auto"/>
              <w:jc w:val="center"/>
              <w:rPr>
                <w:rFonts w:asciiTheme="minorEastAsia" w:eastAsiaTheme="minorEastAsia" w:hAnsiTheme="minorEastAsia" w:cs="Times New Roman Regular"/>
                <w:kern w:val="0"/>
                <w:sz w:val="24"/>
                <w:szCs w:val="24"/>
              </w:rPr>
            </w:pPr>
            <w:r>
              <w:rPr>
                <w:rFonts w:asciiTheme="minorEastAsia" w:eastAsiaTheme="minorEastAsia" w:hAnsiTheme="minorEastAsia" w:cs="Times New Roman Regular"/>
                <w:sz w:val="24"/>
                <w:szCs w:val="24"/>
              </w:rPr>
              <w:t>8</w:t>
            </w:r>
          </w:p>
        </w:tc>
        <w:tc>
          <w:tcPr>
            <w:tcW w:w="2174" w:type="dxa"/>
            <w:vAlign w:val="center"/>
          </w:tcPr>
          <w:p w:rsidR="000E7D14" w:rsidP="00AC0AE4">
            <w:pPr>
              <w:spacing w:line="240" w:lineRule="auto"/>
              <w:rPr>
                <w:rFonts w:asciiTheme="minorEastAsia" w:eastAsiaTheme="minorEastAsia" w:hAnsiTheme="minorEastAsia" w:cs="Times New Roman Regular"/>
                <w:sz w:val="24"/>
                <w:szCs w:val="24"/>
              </w:rPr>
            </w:pPr>
            <w:r>
              <w:rPr>
                <w:rFonts w:asciiTheme="minorEastAsia" w:eastAsiaTheme="minorEastAsia" w:hAnsiTheme="minorEastAsia" w:cs="Times New Roman Regular"/>
                <w:kern w:val="0"/>
                <w:sz w:val="24"/>
                <w:szCs w:val="24"/>
              </w:rPr>
              <w:t>太仓市沙溪镇工业污水处理厂工程</w:t>
            </w:r>
          </w:p>
        </w:tc>
        <w:tc>
          <w:tcPr>
            <w:tcW w:w="1406" w:type="dxa"/>
            <w:vAlign w:val="center"/>
          </w:tcPr>
          <w:p w:rsidR="000E7D14" w:rsidP="00AC0AE4">
            <w:pPr>
              <w:spacing w:line="240" w:lineRule="auto"/>
              <w:jc w:val="center"/>
              <w:rPr>
                <w:rFonts w:asciiTheme="minorEastAsia" w:eastAsiaTheme="minorEastAsia" w:hAnsiTheme="minorEastAsia" w:cs="Times New Roman Regular"/>
                <w:sz w:val="24"/>
                <w:szCs w:val="24"/>
              </w:rPr>
            </w:pPr>
            <w:r>
              <w:rPr>
                <w:rFonts w:asciiTheme="minorEastAsia" w:eastAsiaTheme="minorEastAsia" w:hAnsiTheme="minorEastAsia" w:cs="Times New Roman Regular"/>
                <w:kern w:val="0"/>
                <w:sz w:val="24"/>
                <w:szCs w:val="24"/>
              </w:rPr>
              <w:t>沙溪镇</w:t>
            </w:r>
          </w:p>
        </w:tc>
        <w:tc>
          <w:tcPr>
            <w:tcW w:w="4512" w:type="dxa"/>
            <w:vAlign w:val="center"/>
          </w:tcPr>
          <w:p w:rsidR="000E7D14" w:rsidP="00AC0AE4">
            <w:pPr>
              <w:spacing w:line="240" w:lineRule="auto"/>
              <w:rPr>
                <w:rFonts w:asciiTheme="minorEastAsia" w:eastAsiaTheme="minorEastAsia" w:hAnsiTheme="minorEastAsia" w:cs="Times New Roman Regular"/>
                <w:sz w:val="24"/>
                <w:szCs w:val="24"/>
              </w:rPr>
            </w:pPr>
            <w:r>
              <w:rPr>
                <w:rFonts w:asciiTheme="minorEastAsia" w:eastAsiaTheme="minorEastAsia" w:hAnsiTheme="minorEastAsia" w:cs="Times New Roman Regular"/>
                <w:sz w:val="24"/>
                <w:szCs w:val="24"/>
              </w:rPr>
              <w:t>新建处理规模2万立方米/天工业污水处理厂一座，出水尾水达到省DB32标准</w:t>
            </w:r>
            <w:r>
              <w:rPr>
                <w:rFonts w:asciiTheme="minorEastAsia" w:eastAsiaTheme="minorEastAsia" w:hAnsiTheme="minorEastAsia" w:cs="Times New Roman Regular" w:hint="eastAsia"/>
                <w:sz w:val="24"/>
                <w:szCs w:val="24"/>
              </w:rPr>
              <w:t>。</w:t>
            </w:r>
          </w:p>
        </w:tc>
        <w:tc>
          <w:tcPr>
            <w:tcW w:w="1305" w:type="dxa"/>
            <w:vAlign w:val="center"/>
          </w:tcPr>
          <w:p w:rsidR="000E7D14" w:rsidP="00AC0AE4">
            <w:pPr>
              <w:spacing w:line="240" w:lineRule="auto"/>
              <w:jc w:val="center"/>
              <w:rPr>
                <w:rFonts w:asciiTheme="minorEastAsia" w:eastAsiaTheme="minorEastAsia" w:hAnsiTheme="minorEastAsia" w:cs="Times New Roman Regular"/>
                <w:sz w:val="24"/>
                <w:szCs w:val="24"/>
              </w:rPr>
            </w:pPr>
            <w:r>
              <w:rPr>
                <w:rFonts w:asciiTheme="minorEastAsia" w:eastAsiaTheme="minorEastAsia" w:hAnsiTheme="minorEastAsia" w:cs="Times New Roman Regular"/>
                <w:sz w:val="24"/>
                <w:szCs w:val="24"/>
              </w:rPr>
              <w:t>5000</w:t>
            </w:r>
          </w:p>
        </w:tc>
        <w:tc>
          <w:tcPr>
            <w:tcW w:w="1304" w:type="dxa"/>
            <w:vAlign w:val="center"/>
          </w:tcPr>
          <w:p w:rsidR="000E7D14" w:rsidP="00AC0AE4">
            <w:pPr>
              <w:spacing w:line="240" w:lineRule="auto"/>
              <w:jc w:val="center"/>
              <w:rPr>
                <w:rFonts w:asciiTheme="minorEastAsia" w:eastAsiaTheme="minorEastAsia" w:hAnsiTheme="minorEastAsia" w:cs="Times New Roman Regular"/>
                <w:sz w:val="24"/>
                <w:szCs w:val="24"/>
              </w:rPr>
            </w:pPr>
            <w:r>
              <w:rPr>
                <w:rFonts w:asciiTheme="minorEastAsia" w:eastAsiaTheme="minorEastAsia" w:hAnsiTheme="minorEastAsia" w:cs="Times New Roman Regular"/>
                <w:sz w:val="24"/>
                <w:szCs w:val="24"/>
              </w:rPr>
              <w:t>2020-2022</w:t>
            </w:r>
          </w:p>
        </w:tc>
      </w:tr>
      <w:tr w:rsidTr="00AC0AE4">
        <w:tblPrEx>
          <w:tblW w:w="13043" w:type="dxa"/>
          <w:jc w:val="center"/>
          <w:tblLayout w:type="fixed"/>
          <w:tblLook w:val="04A0"/>
        </w:tblPrEx>
        <w:trPr>
          <w:trHeight w:val="510"/>
          <w:jc w:val="center"/>
        </w:trPr>
        <w:tc>
          <w:tcPr>
            <w:tcW w:w="1655" w:type="dxa"/>
            <w:vMerge/>
            <w:vAlign w:val="center"/>
          </w:tcPr>
          <w:p w:rsidR="000E7D14" w:rsidP="00AC0AE4">
            <w:pPr>
              <w:spacing w:line="240" w:lineRule="auto"/>
              <w:rPr>
                <w:rFonts w:asciiTheme="minorEastAsia" w:eastAsiaTheme="minorEastAsia" w:hAnsiTheme="minorEastAsia" w:cs="Times New Roman Regular"/>
                <w:sz w:val="24"/>
                <w:szCs w:val="24"/>
              </w:rPr>
            </w:pPr>
          </w:p>
        </w:tc>
        <w:tc>
          <w:tcPr>
            <w:tcW w:w="687" w:type="dxa"/>
            <w:vAlign w:val="center"/>
          </w:tcPr>
          <w:p w:rsidR="000E7D14" w:rsidP="00AC0AE4">
            <w:pPr>
              <w:spacing w:line="240" w:lineRule="auto"/>
              <w:jc w:val="center"/>
              <w:rPr>
                <w:rFonts w:asciiTheme="minorEastAsia" w:eastAsiaTheme="minorEastAsia" w:hAnsiTheme="minorEastAsia" w:cs="Times New Roman Regular"/>
                <w:kern w:val="0"/>
                <w:sz w:val="24"/>
                <w:szCs w:val="24"/>
              </w:rPr>
            </w:pPr>
            <w:r>
              <w:rPr>
                <w:rFonts w:asciiTheme="minorEastAsia" w:eastAsiaTheme="minorEastAsia" w:hAnsiTheme="minorEastAsia" w:cs="Times New Roman Regular"/>
                <w:sz w:val="24"/>
                <w:szCs w:val="24"/>
              </w:rPr>
              <w:t>9</w:t>
            </w:r>
          </w:p>
        </w:tc>
        <w:tc>
          <w:tcPr>
            <w:tcW w:w="2174" w:type="dxa"/>
            <w:vAlign w:val="center"/>
          </w:tcPr>
          <w:p w:rsidR="000E7D14" w:rsidP="00AC0AE4">
            <w:pPr>
              <w:spacing w:line="240" w:lineRule="auto"/>
              <w:rPr>
                <w:rFonts w:asciiTheme="minorEastAsia" w:eastAsiaTheme="minorEastAsia" w:hAnsiTheme="minorEastAsia" w:cs="Times New Roman Regular"/>
                <w:sz w:val="24"/>
                <w:szCs w:val="24"/>
              </w:rPr>
            </w:pPr>
            <w:r>
              <w:rPr>
                <w:rFonts w:asciiTheme="minorEastAsia" w:eastAsiaTheme="minorEastAsia" w:hAnsiTheme="minorEastAsia" w:cs="Times New Roman Regular"/>
                <w:kern w:val="0"/>
                <w:sz w:val="24"/>
                <w:szCs w:val="24"/>
              </w:rPr>
              <w:t>太仓市城区污水处理厂提标改造工程</w:t>
            </w:r>
          </w:p>
        </w:tc>
        <w:tc>
          <w:tcPr>
            <w:tcW w:w="1406" w:type="dxa"/>
            <w:vAlign w:val="center"/>
          </w:tcPr>
          <w:p w:rsidR="000E7D14" w:rsidP="00AC0AE4">
            <w:pPr>
              <w:spacing w:line="240" w:lineRule="auto"/>
              <w:jc w:val="center"/>
              <w:rPr>
                <w:rFonts w:asciiTheme="minorEastAsia" w:eastAsiaTheme="minorEastAsia" w:hAnsiTheme="minorEastAsia" w:cs="Times New Roman Regular"/>
                <w:sz w:val="24"/>
                <w:szCs w:val="24"/>
              </w:rPr>
            </w:pPr>
            <w:r>
              <w:rPr>
                <w:rFonts w:asciiTheme="minorEastAsia" w:eastAsiaTheme="minorEastAsia" w:hAnsiTheme="minorEastAsia" w:cs="Times New Roman Regular"/>
                <w:kern w:val="0"/>
                <w:sz w:val="24"/>
                <w:szCs w:val="24"/>
              </w:rPr>
              <w:t>太仓市水务局；责任地区：城厢镇政府</w:t>
            </w:r>
          </w:p>
        </w:tc>
        <w:tc>
          <w:tcPr>
            <w:tcW w:w="4512" w:type="dxa"/>
            <w:vAlign w:val="center"/>
          </w:tcPr>
          <w:p w:rsidR="000E7D14" w:rsidP="00AC0AE4">
            <w:pPr>
              <w:spacing w:line="240" w:lineRule="auto"/>
              <w:rPr>
                <w:rFonts w:asciiTheme="minorEastAsia" w:eastAsiaTheme="minorEastAsia" w:hAnsiTheme="minorEastAsia" w:cs="Times New Roman Regular"/>
                <w:sz w:val="24"/>
                <w:szCs w:val="24"/>
              </w:rPr>
            </w:pPr>
            <w:r>
              <w:rPr>
                <w:rFonts w:asciiTheme="minorEastAsia" w:eastAsiaTheme="minorEastAsia" w:hAnsiTheme="minorEastAsia" w:cs="Times New Roman Regular"/>
                <w:sz w:val="24"/>
                <w:szCs w:val="24"/>
              </w:rPr>
              <w:t>对城区污水处理厂现状6万吨/日处理量进行提标改造，出水尾水达到省DB32标准。</w:t>
            </w:r>
          </w:p>
        </w:tc>
        <w:tc>
          <w:tcPr>
            <w:tcW w:w="1305" w:type="dxa"/>
            <w:vAlign w:val="center"/>
          </w:tcPr>
          <w:p w:rsidR="000E7D14" w:rsidP="00AC0AE4">
            <w:pPr>
              <w:spacing w:line="240" w:lineRule="auto"/>
              <w:jc w:val="center"/>
              <w:rPr>
                <w:rFonts w:asciiTheme="minorEastAsia" w:eastAsiaTheme="minorEastAsia" w:hAnsiTheme="minorEastAsia" w:cs="Times New Roman Regular"/>
                <w:sz w:val="24"/>
                <w:szCs w:val="24"/>
              </w:rPr>
            </w:pPr>
            <w:r>
              <w:rPr>
                <w:rFonts w:asciiTheme="minorEastAsia" w:eastAsiaTheme="minorEastAsia" w:hAnsiTheme="minorEastAsia" w:cs="Times New Roman Regular"/>
                <w:sz w:val="24"/>
                <w:szCs w:val="24"/>
              </w:rPr>
              <w:t>3500</w:t>
            </w:r>
          </w:p>
        </w:tc>
        <w:tc>
          <w:tcPr>
            <w:tcW w:w="1304" w:type="dxa"/>
            <w:vAlign w:val="center"/>
          </w:tcPr>
          <w:p w:rsidR="000E7D14" w:rsidP="00AC0AE4">
            <w:pPr>
              <w:spacing w:line="240" w:lineRule="auto"/>
              <w:jc w:val="center"/>
              <w:rPr>
                <w:rFonts w:asciiTheme="minorEastAsia" w:eastAsiaTheme="minorEastAsia" w:hAnsiTheme="minorEastAsia" w:cs="Times New Roman Regular"/>
                <w:sz w:val="24"/>
                <w:szCs w:val="24"/>
              </w:rPr>
            </w:pPr>
            <w:r>
              <w:rPr>
                <w:rFonts w:asciiTheme="minorEastAsia" w:eastAsiaTheme="minorEastAsia" w:hAnsiTheme="minorEastAsia" w:cs="Times New Roman Regular"/>
                <w:sz w:val="24"/>
                <w:szCs w:val="24"/>
              </w:rPr>
              <w:t>2020-2022</w:t>
            </w:r>
          </w:p>
        </w:tc>
      </w:tr>
      <w:tr w:rsidTr="00AC0AE4">
        <w:tblPrEx>
          <w:tblW w:w="13043" w:type="dxa"/>
          <w:jc w:val="center"/>
          <w:tblLayout w:type="fixed"/>
          <w:tblLook w:val="04A0"/>
        </w:tblPrEx>
        <w:trPr>
          <w:trHeight w:val="510"/>
          <w:jc w:val="center"/>
        </w:trPr>
        <w:tc>
          <w:tcPr>
            <w:tcW w:w="1655" w:type="dxa"/>
            <w:vMerge/>
            <w:vAlign w:val="center"/>
          </w:tcPr>
          <w:p w:rsidR="000E7D14" w:rsidP="00AC0AE4">
            <w:pPr>
              <w:spacing w:line="240" w:lineRule="auto"/>
              <w:rPr>
                <w:rFonts w:asciiTheme="minorEastAsia" w:eastAsiaTheme="minorEastAsia" w:hAnsiTheme="minorEastAsia" w:cs="Times New Roman Regular"/>
                <w:sz w:val="24"/>
                <w:szCs w:val="24"/>
              </w:rPr>
            </w:pPr>
          </w:p>
        </w:tc>
        <w:tc>
          <w:tcPr>
            <w:tcW w:w="687" w:type="dxa"/>
            <w:vAlign w:val="center"/>
          </w:tcPr>
          <w:p w:rsidR="000E7D14" w:rsidP="00AC0AE4">
            <w:pPr>
              <w:spacing w:line="240" w:lineRule="auto"/>
              <w:jc w:val="center"/>
              <w:rPr>
                <w:rFonts w:asciiTheme="minorEastAsia" w:eastAsiaTheme="minorEastAsia" w:hAnsiTheme="minorEastAsia" w:cs="Times New Roman Regular"/>
                <w:sz w:val="24"/>
                <w:szCs w:val="24"/>
              </w:rPr>
            </w:pPr>
            <w:r>
              <w:rPr>
                <w:rFonts w:asciiTheme="minorEastAsia" w:eastAsiaTheme="minorEastAsia" w:hAnsiTheme="minorEastAsia" w:cs="Times New Roman Regular"/>
                <w:sz w:val="24"/>
                <w:szCs w:val="24"/>
              </w:rPr>
              <w:t>10</w:t>
            </w:r>
          </w:p>
        </w:tc>
        <w:tc>
          <w:tcPr>
            <w:tcW w:w="2174" w:type="dxa"/>
            <w:vAlign w:val="center"/>
          </w:tcPr>
          <w:p w:rsidR="000E7D14" w:rsidP="00AC0AE4">
            <w:pPr>
              <w:spacing w:line="240" w:lineRule="auto"/>
              <w:rPr>
                <w:rFonts w:asciiTheme="minorEastAsia" w:eastAsiaTheme="minorEastAsia" w:hAnsiTheme="minorEastAsia" w:cs="Times New Roman Regular"/>
                <w:kern w:val="0"/>
                <w:sz w:val="24"/>
                <w:szCs w:val="24"/>
              </w:rPr>
            </w:pPr>
            <w:r>
              <w:rPr>
                <w:rFonts w:asciiTheme="minorEastAsia" w:eastAsiaTheme="minorEastAsia" w:hAnsiTheme="minorEastAsia" w:cs="Times New Roman Regular"/>
                <w:kern w:val="0"/>
                <w:sz w:val="24"/>
                <w:szCs w:val="24"/>
              </w:rPr>
              <w:t>水上绿色综合服务区</w:t>
            </w:r>
          </w:p>
        </w:tc>
        <w:tc>
          <w:tcPr>
            <w:tcW w:w="1406" w:type="dxa"/>
            <w:vAlign w:val="center"/>
          </w:tcPr>
          <w:p w:rsidR="000E7D14" w:rsidP="00AC0AE4">
            <w:pPr>
              <w:spacing w:line="240" w:lineRule="auto"/>
              <w:jc w:val="center"/>
              <w:rPr>
                <w:rFonts w:asciiTheme="minorEastAsia" w:eastAsiaTheme="minorEastAsia" w:hAnsiTheme="minorEastAsia" w:cs="Times New Roman Regular"/>
                <w:kern w:val="0"/>
                <w:sz w:val="24"/>
                <w:szCs w:val="24"/>
              </w:rPr>
            </w:pPr>
            <w:r>
              <w:rPr>
                <w:rFonts w:asciiTheme="minorEastAsia" w:eastAsiaTheme="minorEastAsia" w:hAnsiTheme="minorEastAsia" w:cs="Times New Roman Regular"/>
                <w:kern w:val="0"/>
                <w:sz w:val="24"/>
                <w:szCs w:val="24"/>
              </w:rPr>
              <w:t>太仓市</w:t>
            </w:r>
            <w:r>
              <w:rPr>
                <w:rFonts w:asciiTheme="minorEastAsia" w:eastAsiaTheme="minorEastAsia" w:hAnsiTheme="minorEastAsia" w:cs="Times New Roman Regular"/>
                <w:kern w:val="0"/>
                <w:sz w:val="24"/>
                <w:szCs w:val="24"/>
              </w:rPr>
              <w:t>港口委、海事局</w:t>
            </w:r>
          </w:p>
        </w:tc>
        <w:tc>
          <w:tcPr>
            <w:tcW w:w="4512" w:type="dxa"/>
            <w:vAlign w:val="center"/>
          </w:tcPr>
          <w:p w:rsidR="000E7D14" w:rsidP="00AC0AE4">
            <w:pPr>
              <w:spacing w:line="240" w:lineRule="auto"/>
              <w:rPr>
                <w:rFonts w:asciiTheme="minorEastAsia" w:eastAsiaTheme="minorEastAsia" w:hAnsiTheme="minorEastAsia" w:cs="Times New Roman Regular"/>
                <w:sz w:val="24"/>
                <w:szCs w:val="24"/>
              </w:rPr>
            </w:pPr>
            <w:r>
              <w:rPr>
                <w:rFonts w:asciiTheme="minorEastAsia" w:eastAsiaTheme="minorEastAsia" w:hAnsiTheme="minorEastAsia" w:cs="Times New Roman Regular"/>
                <w:kern w:val="0"/>
                <w:sz w:val="24"/>
                <w:szCs w:val="24"/>
              </w:rPr>
              <w:t>新建2艘污染物接收船和2艘交通艇</w:t>
            </w:r>
            <w:r>
              <w:rPr>
                <w:rFonts w:asciiTheme="minorEastAsia" w:eastAsiaTheme="minorEastAsia" w:hAnsiTheme="minorEastAsia" w:cs="Times New Roman Regular" w:hint="eastAsia"/>
                <w:kern w:val="0"/>
                <w:sz w:val="24"/>
                <w:szCs w:val="24"/>
              </w:rPr>
              <w:t>。</w:t>
            </w:r>
          </w:p>
        </w:tc>
        <w:tc>
          <w:tcPr>
            <w:tcW w:w="1305" w:type="dxa"/>
            <w:vAlign w:val="center"/>
          </w:tcPr>
          <w:p w:rsidR="000E7D14" w:rsidP="00AC0AE4">
            <w:pPr>
              <w:spacing w:line="240" w:lineRule="auto"/>
              <w:jc w:val="center"/>
              <w:rPr>
                <w:rFonts w:asciiTheme="minorEastAsia" w:eastAsiaTheme="minorEastAsia" w:hAnsiTheme="minorEastAsia" w:cs="Times New Roman Regular"/>
                <w:sz w:val="24"/>
                <w:szCs w:val="24"/>
              </w:rPr>
            </w:pPr>
            <w:r>
              <w:rPr>
                <w:rFonts w:asciiTheme="minorEastAsia" w:eastAsiaTheme="minorEastAsia" w:hAnsiTheme="minorEastAsia" w:cs="Times New Roman Regular"/>
                <w:sz w:val="24"/>
                <w:szCs w:val="24"/>
              </w:rPr>
              <w:t>1500</w:t>
            </w:r>
          </w:p>
        </w:tc>
        <w:tc>
          <w:tcPr>
            <w:tcW w:w="1304" w:type="dxa"/>
            <w:vAlign w:val="center"/>
          </w:tcPr>
          <w:p w:rsidR="000E7D14" w:rsidP="00AC0AE4">
            <w:pPr>
              <w:spacing w:line="240" w:lineRule="auto"/>
              <w:jc w:val="center"/>
              <w:rPr>
                <w:rFonts w:asciiTheme="minorEastAsia" w:eastAsiaTheme="minorEastAsia" w:hAnsiTheme="minorEastAsia" w:cs="Times New Roman Regular"/>
                <w:sz w:val="24"/>
                <w:szCs w:val="24"/>
              </w:rPr>
            </w:pPr>
            <w:r>
              <w:rPr>
                <w:rFonts w:asciiTheme="minorEastAsia" w:eastAsiaTheme="minorEastAsia" w:hAnsiTheme="minorEastAsia" w:cs="Times New Roman Regular"/>
                <w:sz w:val="24"/>
                <w:szCs w:val="24"/>
              </w:rPr>
              <w:t>2021</w:t>
            </w:r>
          </w:p>
        </w:tc>
      </w:tr>
      <w:tr w:rsidTr="00AC0AE4">
        <w:tblPrEx>
          <w:tblW w:w="13043" w:type="dxa"/>
          <w:jc w:val="center"/>
          <w:tblLayout w:type="fixed"/>
          <w:tblLook w:val="04A0"/>
        </w:tblPrEx>
        <w:trPr>
          <w:trHeight w:val="510"/>
          <w:jc w:val="center"/>
        </w:trPr>
        <w:tc>
          <w:tcPr>
            <w:tcW w:w="1655" w:type="dxa"/>
            <w:vMerge/>
            <w:vAlign w:val="center"/>
          </w:tcPr>
          <w:p w:rsidR="000E7D14" w:rsidP="00AC0AE4">
            <w:pPr>
              <w:spacing w:line="240" w:lineRule="auto"/>
              <w:rPr>
                <w:rFonts w:asciiTheme="minorEastAsia" w:eastAsiaTheme="minorEastAsia" w:hAnsiTheme="minorEastAsia" w:cs="Times New Roman Regular"/>
                <w:sz w:val="24"/>
                <w:szCs w:val="24"/>
              </w:rPr>
            </w:pPr>
          </w:p>
        </w:tc>
        <w:tc>
          <w:tcPr>
            <w:tcW w:w="687" w:type="dxa"/>
            <w:vAlign w:val="center"/>
          </w:tcPr>
          <w:p w:rsidR="000E7D14" w:rsidP="00AC0AE4">
            <w:pPr>
              <w:spacing w:line="240" w:lineRule="auto"/>
              <w:jc w:val="center"/>
              <w:rPr>
                <w:rFonts w:asciiTheme="minorEastAsia" w:eastAsiaTheme="minorEastAsia" w:hAnsiTheme="minorEastAsia" w:cs="Times New Roman Regular"/>
                <w:sz w:val="24"/>
                <w:szCs w:val="24"/>
              </w:rPr>
            </w:pPr>
            <w:r>
              <w:rPr>
                <w:rFonts w:asciiTheme="minorEastAsia" w:eastAsiaTheme="minorEastAsia" w:hAnsiTheme="minorEastAsia" w:cs="Times New Roman Regular"/>
                <w:sz w:val="24"/>
                <w:szCs w:val="24"/>
              </w:rPr>
              <w:t>11</w:t>
            </w:r>
          </w:p>
        </w:tc>
        <w:tc>
          <w:tcPr>
            <w:tcW w:w="2174" w:type="dxa"/>
            <w:vAlign w:val="center"/>
          </w:tcPr>
          <w:p w:rsidR="000E7D14" w:rsidP="00AC0AE4">
            <w:pPr>
              <w:spacing w:line="240" w:lineRule="auto"/>
              <w:rPr>
                <w:rFonts w:asciiTheme="minorEastAsia" w:eastAsiaTheme="minorEastAsia" w:hAnsiTheme="minorEastAsia" w:cs="Times New Roman Regular"/>
                <w:kern w:val="0"/>
                <w:sz w:val="24"/>
                <w:szCs w:val="24"/>
              </w:rPr>
            </w:pPr>
            <w:r>
              <w:rPr>
                <w:rFonts w:asciiTheme="minorEastAsia" w:eastAsiaTheme="minorEastAsia" w:hAnsiTheme="minorEastAsia" w:cs="Times New Roman Regular"/>
                <w:kern w:val="0"/>
                <w:sz w:val="24"/>
                <w:szCs w:val="24"/>
              </w:rPr>
              <w:t>阳鸿石化化学品洗舱水及含油污水收集处置站</w:t>
            </w:r>
          </w:p>
        </w:tc>
        <w:tc>
          <w:tcPr>
            <w:tcW w:w="1406" w:type="dxa"/>
            <w:vAlign w:val="center"/>
          </w:tcPr>
          <w:p w:rsidR="000E7D14" w:rsidP="00AC0AE4">
            <w:pPr>
              <w:spacing w:line="240" w:lineRule="auto"/>
              <w:jc w:val="center"/>
              <w:rPr>
                <w:rFonts w:asciiTheme="minorEastAsia" w:eastAsiaTheme="minorEastAsia" w:hAnsiTheme="minorEastAsia" w:cs="Times New Roman Regular"/>
                <w:kern w:val="0"/>
                <w:sz w:val="24"/>
                <w:szCs w:val="24"/>
              </w:rPr>
            </w:pPr>
            <w:r>
              <w:rPr>
                <w:rFonts w:asciiTheme="minorEastAsia" w:eastAsiaTheme="minorEastAsia" w:hAnsiTheme="minorEastAsia" w:cs="Times New Roman Regular"/>
                <w:kern w:val="0"/>
                <w:sz w:val="24"/>
                <w:szCs w:val="24"/>
              </w:rPr>
              <w:t>阳鸿石化</w:t>
            </w:r>
          </w:p>
        </w:tc>
        <w:tc>
          <w:tcPr>
            <w:tcW w:w="4512" w:type="dxa"/>
            <w:vAlign w:val="center"/>
          </w:tcPr>
          <w:p w:rsidR="000E7D14" w:rsidP="00AC0AE4">
            <w:pPr>
              <w:spacing w:line="240" w:lineRule="auto"/>
              <w:rPr>
                <w:rFonts w:asciiTheme="minorEastAsia" w:eastAsiaTheme="minorEastAsia" w:hAnsiTheme="minorEastAsia" w:cs="Times New Roman Regular"/>
                <w:sz w:val="24"/>
                <w:szCs w:val="24"/>
              </w:rPr>
            </w:pPr>
            <w:r>
              <w:rPr>
                <w:rFonts w:asciiTheme="minorEastAsia" w:eastAsiaTheme="minorEastAsia" w:hAnsiTheme="minorEastAsia" w:cs="Times New Roman Regular"/>
                <w:sz w:val="24"/>
                <w:szCs w:val="24"/>
              </w:rPr>
              <w:t>含油污水管线2根，化学品洗舱污水管线2根，生活污水管线1根，蒸汽管线1根，氮气管线1根，含油污水收集池1座，化学品洗舱水收集池1座，生活污水收集池1座，污水处理站1座。</w:t>
            </w:r>
          </w:p>
        </w:tc>
        <w:tc>
          <w:tcPr>
            <w:tcW w:w="1305" w:type="dxa"/>
            <w:vAlign w:val="center"/>
          </w:tcPr>
          <w:p w:rsidR="000E7D14" w:rsidP="00AC0AE4">
            <w:pPr>
              <w:spacing w:line="240" w:lineRule="auto"/>
              <w:jc w:val="center"/>
              <w:rPr>
                <w:rFonts w:asciiTheme="minorEastAsia" w:eastAsiaTheme="minorEastAsia" w:hAnsiTheme="minorEastAsia" w:cs="Times New Roman Regular"/>
                <w:sz w:val="24"/>
                <w:szCs w:val="24"/>
              </w:rPr>
            </w:pPr>
            <w:r>
              <w:rPr>
                <w:rFonts w:asciiTheme="minorEastAsia" w:eastAsiaTheme="minorEastAsia" w:hAnsiTheme="minorEastAsia" w:cs="Times New Roman Regular"/>
                <w:sz w:val="24"/>
                <w:szCs w:val="24"/>
              </w:rPr>
              <w:t>1300</w:t>
            </w:r>
          </w:p>
        </w:tc>
        <w:tc>
          <w:tcPr>
            <w:tcW w:w="1304" w:type="dxa"/>
            <w:vAlign w:val="center"/>
          </w:tcPr>
          <w:p w:rsidR="000E7D14" w:rsidP="00AC0AE4">
            <w:pPr>
              <w:spacing w:line="240" w:lineRule="auto"/>
              <w:jc w:val="center"/>
              <w:rPr>
                <w:rFonts w:asciiTheme="minorEastAsia" w:eastAsiaTheme="minorEastAsia" w:hAnsiTheme="minorEastAsia" w:cs="Times New Roman Regular"/>
                <w:sz w:val="24"/>
                <w:szCs w:val="24"/>
              </w:rPr>
            </w:pPr>
            <w:r>
              <w:rPr>
                <w:rFonts w:asciiTheme="minorEastAsia" w:eastAsiaTheme="minorEastAsia" w:hAnsiTheme="minorEastAsia" w:cs="Times New Roman Regular"/>
                <w:sz w:val="24"/>
                <w:szCs w:val="24"/>
              </w:rPr>
              <w:t>2021</w:t>
            </w:r>
          </w:p>
        </w:tc>
      </w:tr>
      <w:tr w:rsidTr="00AC0AE4">
        <w:tblPrEx>
          <w:tblW w:w="13043" w:type="dxa"/>
          <w:jc w:val="center"/>
          <w:tblLayout w:type="fixed"/>
          <w:tblLook w:val="04A0"/>
        </w:tblPrEx>
        <w:trPr>
          <w:trHeight w:val="510"/>
          <w:jc w:val="center"/>
        </w:trPr>
        <w:tc>
          <w:tcPr>
            <w:tcW w:w="1655" w:type="dxa"/>
            <w:vMerge/>
            <w:vAlign w:val="center"/>
          </w:tcPr>
          <w:p w:rsidR="000E7D14" w:rsidP="00AC0AE4">
            <w:pPr>
              <w:spacing w:line="240" w:lineRule="auto"/>
              <w:rPr>
                <w:rFonts w:asciiTheme="minorEastAsia" w:eastAsiaTheme="minorEastAsia" w:hAnsiTheme="minorEastAsia" w:cs="Times New Roman Regular"/>
                <w:sz w:val="24"/>
                <w:szCs w:val="24"/>
              </w:rPr>
            </w:pPr>
          </w:p>
        </w:tc>
        <w:tc>
          <w:tcPr>
            <w:tcW w:w="687" w:type="dxa"/>
            <w:vAlign w:val="center"/>
          </w:tcPr>
          <w:p w:rsidR="000E7D14" w:rsidP="00AC0AE4">
            <w:pPr>
              <w:spacing w:line="240" w:lineRule="auto"/>
              <w:jc w:val="center"/>
              <w:rPr>
                <w:rFonts w:asciiTheme="minorEastAsia" w:eastAsiaTheme="minorEastAsia" w:hAnsiTheme="minorEastAsia" w:cs="Times New Roman Regular"/>
                <w:sz w:val="24"/>
                <w:szCs w:val="24"/>
              </w:rPr>
            </w:pPr>
            <w:r>
              <w:rPr>
                <w:rFonts w:asciiTheme="minorEastAsia" w:eastAsiaTheme="minorEastAsia" w:hAnsiTheme="minorEastAsia" w:cs="Times New Roman Regular" w:hint="eastAsia"/>
                <w:sz w:val="24"/>
                <w:szCs w:val="24"/>
              </w:rPr>
              <w:t>12</w:t>
            </w:r>
          </w:p>
        </w:tc>
        <w:tc>
          <w:tcPr>
            <w:tcW w:w="2174" w:type="dxa"/>
            <w:vAlign w:val="center"/>
          </w:tcPr>
          <w:p w:rsidR="000E7D14" w:rsidP="00AC0AE4">
            <w:pPr>
              <w:widowControl/>
              <w:tabs>
                <w:tab w:val="left" w:pos="1559"/>
              </w:tabs>
              <w:overflowPunct w:val="0"/>
              <w:autoSpaceDE w:val="0"/>
              <w:autoSpaceDN w:val="0"/>
              <w:snapToGrid w:val="0"/>
              <w:spacing w:line="240" w:lineRule="auto"/>
              <w:ind w:right="-38" w:rightChars="-12"/>
              <w:jc w:val="left"/>
              <w:rPr>
                <w:rFonts w:asciiTheme="minorEastAsia" w:eastAsiaTheme="minorEastAsia" w:hAnsiTheme="minorEastAsia" w:cs="Times New Roman Regular"/>
                <w:color w:val="0D0D0D"/>
                <w:sz w:val="24"/>
                <w:szCs w:val="24"/>
              </w:rPr>
            </w:pPr>
            <w:r>
              <w:rPr>
                <w:rFonts w:asciiTheme="minorEastAsia" w:eastAsiaTheme="minorEastAsia" w:hAnsiTheme="minorEastAsia" w:cs="Times New Roman Regular"/>
                <w:color w:val="000000"/>
                <w:sz w:val="24"/>
                <w:szCs w:val="24"/>
              </w:rPr>
              <w:t>生态美丽河湖建设</w:t>
            </w:r>
          </w:p>
        </w:tc>
        <w:tc>
          <w:tcPr>
            <w:tcW w:w="1406" w:type="dxa"/>
            <w:vAlign w:val="center"/>
          </w:tcPr>
          <w:p w:rsidR="000E7D14" w:rsidP="00AC0AE4">
            <w:pPr>
              <w:widowControl/>
              <w:tabs>
                <w:tab w:val="left" w:pos="1559"/>
              </w:tabs>
              <w:overflowPunct w:val="0"/>
              <w:autoSpaceDE w:val="0"/>
              <w:autoSpaceDN w:val="0"/>
              <w:snapToGrid w:val="0"/>
              <w:spacing w:line="240" w:lineRule="auto"/>
              <w:ind w:right="-38" w:rightChars="-12"/>
              <w:jc w:val="center"/>
              <w:rPr>
                <w:rFonts w:asciiTheme="minorEastAsia" w:eastAsiaTheme="minorEastAsia" w:hAnsiTheme="minorEastAsia" w:cs="Times New Roman Regular"/>
                <w:color w:val="0D0D0D"/>
                <w:sz w:val="24"/>
                <w:szCs w:val="24"/>
              </w:rPr>
            </w:pPr>
            <w:r>
              <w:rPr>
                <w:rFonts w:asciiTheme="minorEastAsia" w:eastAsiaTheme="minorEastAsia" w:hAnsiTheme="minorEastAsia" w:cs="Times New Roman Regular" w:hint="eastAsia"/>
                <w:color w:val="0D0D0D"/>
                <w:sz w:val="24"/>
                <w:szCs w:val="24"/>
              </w:rPr>
              <w:t>太仓市水务局</w:t>
            </w:r>
          </w:p>
        </w:tc>
        <w:tc>
          <w:tcPr>
            <w:tcW w:w="4512" w:type="dxa"/>
            <w:vAlign w:val="center"/>
          </w:tcPr>
          <w:p w:rsidR="000E7D14" w:rsidP="00AC0AE4">
            <w:pPr>
              <w:widowControl/>
              <w:tabs>
                <w:tab w:val="left" w:pos="1559"/>
              </w:tabs>
              <w:overflowPunct w:val="0"/>
              <w:autoSpaceDE w:val="0"/>
              <w:autoSpaceDN w:val="0"/>
              <w:snapToGrid w:val="0"/>
              <w:spacing w:line="240" w:lineRule="auto"/>
              <w:ind w:right="-38" w:rightChars="-12"/>
              <w:jc w:val="left"/>
              <w:rPr>
                <w:rFonts w:asciiTheme="minorEastAsia" w:eastAsiaTheme="minorEastAsia" w:hAnsiTheme="minorEastAsia" w:cs="Times New Roman Regular"/>
                <w:color w:val="0D0D0D"/>
                <w:sz w:val="24"/>
                <w:szCs w:val="24"/>
              </w:rPr>
            </w:pPr>
            <w:r>
              <w:rPr>
                <w:rFonts w:asciiTheme="minorEastAsia" w:eastAsiaTheme="minorEastAsia" w:hAnsiTheme="minorEastAsia" w:cs="Times New Roman Regular"/>
                <w:color w:val="000000"/>
                <w:sz w:val="24"/>
                <w:szCs w:val="24"/>
              </w:rPr>
              <w:t>完成450条生态美丽河湖建设</w:t>
            </w:r>
            <w:r>
              <w:rPr>
                <w:rFonts w:asciiTheme="minorEastAsia" w:eastAsiaTheme="minorEastAsia" w:hAnsiTheme="minorEastAsia" w:cs="Times New Roman Regular" w:hint="eastAsia"/>
                <w:color w:val="000000"/>
                <w:sz w:val="24"/>
                <w:szCs w:val="24"/>
              </w:rPr>
              <w:t>。</w:t>
            </w:r>
          </w:p>
        </w:tc>
        <w:tc>
          <w:tcPr>
            <w:tcW w:w="1305" w:type="dxa"/>
            <w:vAlign w:val="center"/>
          </w:tcPr>
          <w:p w:rsidR="000E7D14" w:rsidP="00AC0AE4">
            <w:pPr>
              <w:widowControl/>
              <w:tabs>
                <w:tab w:val="left" w:pos="1559"/>
              </w:tabs>
              <w:overflowPunct w:val="0"/>
              <w:autoSpaceDE w:val="0"/>
              <w:autoSpaceDN w:val="0"/>
              <w:snapToGrid w:val="0"/>
              <w:spacing w:line="240" w:lineRule="auto"/>
              <w:ind w:right="-38" w:rightChars="-12"/>
              <w:jc w:val="center"/>
              <w:rPr>
                <w:rFonts w:asciiTheme="minorEastAsia" w:eastAsiaTheme="minorEastAsia" w:hAnsiTheme="minorEastAsia" w:cs="Times New Roman Regular"/>
                <w:color w:val="0D0D0D"/>
                <w:sz w:val="24"/>
              </w:rPr>
            </w:pPr>
            <w:r>
              <w:rPr>
                <w:rFonts w:asciiTheme="minorEastAsia" w:eastAsiaTheme="minorEastAsia" w:hAnsiTheme="minorEastAsia" w:cs="Times New Roman Regular"/>
                <w:color w:val="000000"/>
                <w:sz w:val="24"/>
                <w:szCs w:val="24"/>
              </w:rPr>
              <w:t>45000</w:t>
            </w:r>
          </w:p>
        </w:tc>
        <w:tc>
          <w:tcPr>
            <w:tcW w:w="1304" w:type="dxa"/>
            <w:vAlign w:val="center"/>
          </w:tcPr>
          <w:p w:rsidR="000E7D14" w:rsidP="00AC0AE4">
            <w:pPr>
              <w:widowControl/>
              <w:tabs>
                <w:tab w:val="left" w:pos="1559"/>
              </w:tabs>
              <w:overflowPunct w:val="0"/>
              <w:autoSpaceDE w:val="0"/>
              <w:autoSpaceDN w:val="0"/>
              <w:snapToGrid w:val="0"/>
              <w:spacing w:line="240" w:lineRule="auto"/>
              <w:ind w:right="-38" w:rightChars="-12"/>
              <w:jc w:val="left"/>
              <w:rPr>
                <w:rFonts w:asciiTheme="minorEastAsia" w:eastAsiaTheme="minorEastAsia" w:hAnsiTheme="minorEastAsia" w:cs="Times New Roman Regular"/>
                <w:color w:val="0D0D0D"/>
                <w:sz w:val="24"/>
              </w:rPr>
            </w:pPr>
            <w:r>
              <w:rPr>
                <w:rFonts w:asciiTheme="minorEastAsia" w:eastAsiaTheme="minorEastAsia" w:hAnsiTheme="minorEastAsia" w:cs="Times New Roman Regular"/>
                <w:color w:val="0D0D0D"/>
                <w:sz w:val="24"/>
                <w:szCs w:val="24"/>
              </w:rPr>
              <w:t>2021-2025</w:t>
            </w:r>
          </w:p>
        </w:tc>
      </w:tr>
      <w:tr w:rsidTr="00AC0AE4">
        <w:tblPrEx>
          <w:tblW w:w="13043" w:type="dxa"/>
          <w:jc w:val="center"/>
          <w:tblLayout w:type="fixed"/>
          <w:tblLook w:val="04A0"/>
        </w:tblPrEx>
        <w:trPr>
          <w:trHeight w:val="73"/>
          <w:jc w:val="center"/>
        </w:trPr>
        <w:tc>
          <w:tcPr>
            <w:tcW w:w="1655" w:type="dxa"/>
            <w:vMerge/>
            <w:vAlign w:val="center"/>
          </w:tcPr>
          <w:p w:rsidR="000E7D14" w:rsidP="00AC0AE4">
            <w:pPr>
              <w:spacing w:line="240" w:lineRule="auto"/>
              <w:rPr>
                <w:rFonts w:asciiTheme="minorEastAsia" w:eastAsiaTheme="minorEastAsia" w:hAnsiTheme="minorEastAsia" w:cs="Times New Roman Regular"/>
                <w:sz w:val="24"/>
                <w:szCs w:val="24"/>
              </w:rPr>
            </w:pPr>
          </w:p>
        </w:tc>
        <w:tc>
          <w:tcPr>
            <w:tcW w:w="687" w:type="dxa"/>
            <w:vAlign w:val="center"/>
          </w:tcPr>
          <w:p w:rsidR="000E7D14" w:rsidP="00AC0AE4">
            <w:pPr>
              <w:spacing w:line="240" w:lineRule="auto"/>
              <w:jc w:val="center"/>
              <w:rPr>
                <w:rFonts w:asciiTheme="minorEastAsia" w:eastAsiaTheme="minorEastAsia" w:hAnsiTheme="minorEastAsia" w:cs="Times New Roman Regular"/>
                <w:sz w:val="24"/>
                <w:szCs w:val="24"/>
              </w:rPr>
            </w:pPr>
            <w:r>
              <w:rPr>
                <w:rFonts w:asciiTheme="minorEastAsia" w:eastAsiaTheme="minorEastAsia" w:hAnsiTheme="minorEastAsia" w:cs="Times New Roman Regular"/>
                <w:sz w:val="24"/>
                <w:szCs w:val="24"/>
              </w:rPr>
              <w:t>13</w:t>
            </w:r>
          </w:p>
        </w:tc>
        <w:tc>
          <w:tcPr>
            <w:tcW w:w="2174" w:type="dxa"/>
            <w:vAlign w:val="center"/>
          </w:tcPr>
          <w:p w:rsidR="000E7D14" w:rsidP="00AC0AE4">
            <w:pPr>
              <w:widowControl/>
              <w:spacing w:before="62" w:beforeLines="20" w:after="62" w:afterLines="20" w:line="240" w:lineRule="auto"/>
              <w:jc w:val="left"/>
              <w:rPr>
                <w:rFonts w:asciiTheme="minorEastAsia" w:eastAsiaTheme="minorEastAsia" w:hAnsiTheme="minorEastAsia" w:cs="Times New Roman Regular"/>
                <w:kern w:val="0"/>
                <w:sz w:val="24"/>
                <w:szCs w:val="24"/>
              </w:rPr>
            </w:pPr>
            <w:r>
              <w:rPr>
                <w:rFonts w:asciiTheme="minorEastAsia" w:eastAsiaTheme="minorEastAsia" w:hAnsiTheme="minorEastAsia" w:cs="Times New Roman Regular"/>
                <w:color w:val="0D0D0D"/>
                <w:sz w:val="24"/>
                <w:szCs w:val="24"/>
              </w:rPr>
              <w:t>沿江排污口整治</w:t>
            </w:r>
          </w:p>
        </w:tc>
        <w:tc>
          <w:tcPr>
            <w:tcW w:w="1406" w:type="dxa"/>
            <w:vAlign w:val="center"/>
          </w:tcPr>
          <w:p w:rsidR="000E7D14" w:rsidP="00AC0AE4">
            <w:pPr>
              <w:widowControl/>
              <w:spacing w:before="62" w:beforeLines="20" w:after="62" w:afterLines="20" w:line="240" w:lineRule="auto"/>
              <w:jc w:val="center"/>
              <w:rPr>
                <w:rFonts w:asciiTheme="minorEastAsia" w:eastAsiaTheme="minorEastAsia" w:hAnsiTheme="minorEastAsia" w:cs="Times New Roman Regular"/>
                <w:kern w:val="0"/>
                <w:sz w:val="24"/>
                <w:szCs w:val="24"/>
              </w:rPr>
            </w:pPr>
            <w:r>
              <w:rPr>
                <w:rFonts w:asciiTheme="minorEastAsia" w:eastAsiaTheme="minorEastAsia" w:hAnsiTheme="minorEastAsia" w:cs="Times New Roman Regular"/>
                <w:color w:val="0D0D0D"/>
                <w:sz w:val="24"/>
                <w:szCs w:val="24"/>
              </w:rPr>
              <w:t>太仓生态环境局</w:t>
            </w:r>
          </w:p>
        </w:tc>
        <w:tc>
          <w:tcPr>
            <w:tcW w:w="4512" w:type="dxa"/>
            <w:vAlign w:val="center"/>
          </w:tcPr>
          <w:p w:rsidR="000E7D14" w:rsidP="00AC0AE4">
            <w:pPr>
              <w:widowControl/>
              <w:spacing w:before="62" w:beforeLines="20" w:after="62" w:afterLines="20" w:line="240" w:lineRule="auto"/>
              <w:jc w:val="left"/>
              <w:rPr>
                <w:rFonts w:asciiTheme="minorEastAsia" w:eastAsiaTheme="minorEastAsia" w:hAnsiTheme="minorEastAsia" w:cs="Times New Roman Regular"/>
                <w:kern w:val="0"/>
                <w:sz w:val="24"/>
                <w:szCs w:val="24"/>
              </w:rPr>
            </w:pPr>
            <w:r>
              <w:rPr>
                <w:rFonts w:asciiTheme="minorEastAsia" w:eastAsiaTheme="minorEastAsia" w:hAnsiTheme="minorEastAsia" w:cs="Times New Roman Regular"/>
                <w:color w:val="0D0D0D"/>
                <w:sz w:val="24"/>
                <w:szCs w:val="24"/>
              </w:rPr>
              <w:t>按照“取缔一批、整治一批、规范一批”原则，全面开展沿江及入江河道沿线排口溯源排查，梳理问题清单，制订排污口整治方案，明确排污口整治要求，分类推进排污口规范整治。</w:t>
            </w:r>
          </w:p>
        </w:tc>
        <w:tc>
          <w:tcPr>
            <w:tcW w:w="1305" w:type="dxa"/>
            <w:vAlign w:val="center"/>
          </w:tcPr>
          <w:p w:rsidR="000E7D14" w:rsidP="00AC0AE4">
            <w:pPr>
              <w:widowControl/>
              <w:spacing w:before="62" w:beforeLines="20" w:after="62" w:afterLines="20" w:line="240" w:lineRule="auto"/>
              <w:jc w:val="center"/>
              <w:rPr>
                <w:rFonts w:asciiTheme="minorEastAsia" w:eastAsiaTheme="minorEastAsia" w:hAnsiTheme="minorEastAsia" w:cs="Times New Roman Regular"/>
                <w:kern w:val="0"/>
                <w:sz w:val="24"/>
                <w:szCs w:val="24"/>
              </w:rPr>
            </w:pPr>
            <w:r>
              <w:rPr>
                <w:rFonts w:asciiTheme="minorEastAsia" w:eastAsiaTheme="minorEastAsia" w:hAnsiTheme="minorEastAsia" w:cs="Times New Roman Regular"/>
                <w:kern w:val="0"/>
                <w:sz w:val="24"/>
                <w:szCs w:val="24"/>
              </w:rPr>
              <w:t>15000</w:t>
            </w:r>
          </w:p>
        </w:tc>
        <w:tc>
          <w:tcPr>
            <w:tcW w:w="1304" w:type="dxa"/>
            <w:vAlign w:val="center"/>
          </w:tcPr>
          <w:p w:rsidR="000E7D14" w:rsidP="00AC0AE4">
            <w:pPr>
              <w:spacing w:line="240" w:lineRule="auto"/>
              <w:jc w:val="center"/>
              <w:rPr>
                <w:rFonts w:asciiTheme="minorEastAsia" w:eastAsiaTheme="minorEastAsia" w:hAnsiTheme="minorEastAsia" w:cs="Times New Roman Regular"/>
                <w:sz w:val="24"/>
                <w:szCs w:val="24"/>
              </w:rPr>
            </w:pPr>
            <w:r>
              <w:rPr>
                <w:rFonts w:asciiTheme="minorEastAsia" w:eastAsiaTheme="minorEastAsia" w:hAnsiTheme="minorEastAsia" w:cs="Times New Roman Regular"/>
                <w:sz w:val="24"/>
                <w:szCs w:val="24"/>
              </w:rPr>
              <w:t>2021-2025</w:t>
            </w:r>
          </w:p>
        </w:tc>
      </w:tr>
      <w:tr w:rsidTr="00AC0AE4">
        <w:tblPrEx>
          <w:tblW w:w="13043" w:type="dxa"/>
          <w:jc w:val="center"/>
          <w:tblLayout w:type="fixed"/>
          <w:tblLook w:val="04A0"/>
        </w:tblPrEx>
        <w:trPr>
          <w:trHeight w:val="510"/>
          <w:jc w:val="center"/>
        </w:trPr>
        <w:tc>
          <w:tcPr>
            <w:tcW w:w="1655" w:type="dxa"/>
            <w:vMerge w:val="restart"/>
            <w:vAlign w:val="center"/>
          </w:tcPr>
          <w:p w:rsidR="000E7D14" w:rsidP="00AC0AE4">
            <w:pPr>
              <w:spacing w:line="240" w:lineRule="auto"/>
              <w:rPr>
                <w:rFonts w:asciiTheme="minorEastAsia" w:eastAsiaTheme="minorEastAsia" w:hAnsiTheme="minorEastAsia" w:cs="Times New Roman Regular"/>
                <w:sz w:val="24"/>
                <w:szCs w:val="24"/>
              </w:rPr>
            </w:pPr>
            <w:r>
              <w:rPr>
                <w:rFonts w:asciiTheme="minorEastAsia" w:eastAsiaTheme="minorEastAsia" w:hAnsiTheme="minorEastAsia" w:cs="Times New Roman Regular"/>
                <w:sz w:val="24"/>
                <w:szCs w:val="24"/>
              </w:rPr>
              <w:t>三、土壤环境</w:t>
            </w:r>
            <w:r>
              <w:rPr>
                <w:rFonts w:asciiTheme="minorEastAsia" w:eastAsiaTheme="minorEastAsia" w:hAnsiTheme="minorEastAsia" w:cs="Times New Roman Regular"/>
                <w:sz w:val="24"/>
                <w:szCs w:val="24"/>
              </w:rPr>
              <w:t>治理修复</w:t>
            </w:r>
          </w:p>
        </w:tc>
        <w:tc>
          <w:tcPr>
            <w:tcW w:w="687" w:type="dxa"/>
            <w:vAlign w:val="center"/>
          </w:tcPr>
          <w:p w:rsidR="000E7D14" w:rsidP="00AC0AE4">
            <w:pPr>
              <w:spacing w:line="240" w:lineRule="auto"/>
              <w:jc w:val="center"/>
              <w:rPr>
                <w:rFonts w:asciiTheme="minorEastAsia" w:eastAsiaTheme="minorEastAsia" w:hAnsiTheme="minorEastAsia" w:cs="Times New Roman Regular"/>
                <w:sz w:val="24"/>
                <w:szCs w:val="24"/>
              </w:rPr>
            </w:pPr>
            <w:r>
              <w:rPr>
                <w:rFonts w:asciiTheme="minorEastAsia" w:eastAsiaTheme="minorEastAsia" w:hAnsiTheme="minorEastAsia" w:cs="Times New Roman Regular"/>
                <w:sz w:val="24"/>
                <w:szCs w:val="24"/>
              </w:rPr>
              <w:t>14</w:t>
            </w:r>
          </w:p>
        </w:tc>
        <w:tc>
          <w:tcPr>
            <w:tcW w:w="2174" w:type="dxa"/>
            <w:vAlign w:val="center"/>
          </w:tcPr>
          <w:p w:rsidR="000E7D14" w:rsidP="00AC0AE4">
            <w:pPr>
              <w:spacing w:line="240" w:lineRule="auto"/>
              <w:rPr>
                <w:rFonts w:asciiTheme="minorEastAsia" w:eastAsiaTheme="minorEastAsia" w:hAnsiTheme="minorEastAsia" w:cs="Times New Roman Regular"/>
                <w:kern w:val="0"/>
                <w:sz w:val="24"/>
                <w:szCs w:val="24"/>
                <w:highlight w:val="magenta"/>
              </w:rPr>
            </w:pPr>
            <w:r>
              <w:rPr>
                <w:rFonts w:asciiTheme="minorEastAsia" w:eastAsiaTheme="minorEastAsia" w:hAnsiTheme="minorEastAsia" w:cs="Times New Roman Regular"/>
                <w:color w:val="0D0D0D"/>
                <w:sz w:val="24"/>
                <w:szCs w:val="24"/>
              </w:rPr>
              <w:t>城厢镇沿河地块污</w:t>
            </w:r>
            <w:r>
              <w:rPr>
                <w:rFonts w:asciiTheme="minorEastAsia" w:eastAsiaTheme="minorEastAsia" w:hAnsiTheme="minorEastAsia" w:cs="Times New Roman Regular"/>
                <w:color w:val="0D0D0D"/>
                <w:sz w:val="24"/>
                <w:szCs w:val="24"/>
              </w:rPr>
              <w:t>染土壤修复工程</w:t>
            </w:r>
          </w:p>
        </w:tc>
        <w:tc>
          <w:tcPr>
            <w:tcW w:w="1406" w:type="dxa"/>
            <w:vAlign w:val="center"/>
          </w:tcPr>
          <w:p w:rsidR="000E7D14" w:rsidP="00AC0AE4">
            <w:pPr>
              <w:spacing w:line="240" w:lineRule="auto"/>
              <w:jc w:val="center"/>
              <w:rPr>
                <w:rFonts w:asciiTheme="minorEastAsia" w:eastAsiaTheme="minorEastAsia" w:hAnsiTheme="minorEastAsia" w:cs="Times New Roman Regular"/>
                <w:kern w:val="0"/>
                <w:sz w:val="24"/>
                <w:szCs w:val="24"/>
              </w:rPr>
            </w:pPr>
            <w:r>
              <w:rPr>
                <w:rFonts w:asciiTheme="minorEastAsia" w:eastAsiaTheme="minorEastAsia" w:hAnsiTheme="minorEastAsia" w:cs="Times New Roman Regular"/>
                <w:color w:val="0D0D0D"/>
                <w:sz w:val="24"/>
                <w:szCs w:val="24"/>
              </w:rPr>
              <w:t>太仓生态</w:t>
            </w:r>
            <w:r>
              <w:rPr>
                <w:rFonts w:asciiTheme="minorEastAsia" w:eastAsiaTheme="minorEastAsia" w:hAnsiTheme="minorEastAsia" w:cs="Times New Roman Regular"/>
                <w:color w:val="0D0D0D"/>
                <w:sz w:val="24"/>
                <w:szCs w:val="24"/>
              </w:rPr>
              <w:t>环境局</w:t>
            </w:r>
          </w:p>
        </w:tc>
        <w:tc>
          <w:tcPr>
            <w:tcW w:w="4512" w:type="dxa"/>
            <w:vAlign w:val="center"/>
          </w:tcPr>
          <w:p w:rsidR="000E7D14" w:rsidP="00AC0AE4">
            <w:pPr>
              <w:spacing w:line="240" w:lineRule="auto"/>
              <w:rPr>
                <w:rFonts w:asciiTheme="minorEastAsia" w:eastAsiaTheme="minorEastAsia" w:hAnsiTheme="minorEastAsia" w:cs="Times New Roman Regular"/>
                <w:sz w:val="24"/>
                <w:szCs w:val="24"/>
                <w:highlight w:val="magenta"/>
              </w:rPr>
            </w:pPr>
            <w:r>
              <w:rPr>
                <w:rFonts w:asciiTheme="minorEastAsia" w:eastAsiaTheme="minorEastAsia" w:hAnsiTheme="minorEastAsia" w:cs="Times New Roman Regular"/>
                <w:color w:val="0D0D0D"/>
                <w:sz w:val="24"/>
                <w:szCs w:val="24"/>
              </w:rPr>
              <w:t>修复郑和西路南侧、吴塘河北侧、江苏仓</w:t>
            </w:r>
            <w:r>
              <w:rPr>
                <w:rFonts w:asciiTheme="minorEastAsia" w:eastAsiaTheme="minorEastAsia" w:hAnsiTheme="minorEastAsia" w:cs="Times New Roman Regular"/>
                <w:color w:val="0D0D0D"/>
                <w:sz w:val="24"/>
                <w:szCs w:val="24"/>
              </w:rPr>
              <w:t>环铜业股份有限公司西侧、城西公交首末站东侧受污染地块。</w:t>
            </w:r>
          </w:p>
        </w:tc>
        <w:tc>
          <w:tcPr>
            <w:tcW w:w="1305" w:type="dxa"/>
            <w:vAlign w:val="center"/>
          </w:tcPr>
          <w:p w:rsidR="000E7D14" w:rsidP="00AC0AE4">
            <w:pPr>
              <w:spacing w:line="240" w:lineRule="auto"/>
              <w:jc w:val="center"/>
              <w:rPr>
                <w:rFonts w:asciiTheme="minorEastAsia" w:eastAsiaTheme="minorEastAsia" w:hAnsiTheme="minorEastAsia" w:cs="Times New Roman Regular"/>
                <w:sz w:val="24"/>
                <w:szCs w:val="24"/>
                <w:highlight w:val="magenta"/>
              </w:rPr>
            </w:pPr>
            <w:r>
              <w:rPr>
                <w:rFonts w:asciiTheme="minorEastAsia" w:eastAsiaTheme="minorEastAsia" w:hAnsiTheme="minorEastAsia" w:cs="Times New Roman Regular"/>
                <w:sz w:val="24"/>
                <w:szCs w:val="24"/>
              </w:rPr>
              <w:t>500</w:t>
            </w:r>
          </w:p>
        </w:tc>
        <w:tc>
          <w:tcPr>
            <w:tcW w:w="1304" w:type="dxa"/>
            <w:vAlign w:val="center"/>
          </w:tcPr>
          <w:p w:rsidR="000E7D14" w:rsidP="00AC0AE4">
            <w:pPr>
              <w:spacing w:line="240" w:lineRule="auto"/>
              <w:jc w:val="center"/>
              <w:rPr>
                <w:rFonts w:asciiTheme="minorEastAsia" w:eastAsiaTheme="minorEastAsia" w:hAnsiTheme="minorEastAsia" w:cs="Times New Roman Regular"/>
                <w:sz w:val="24"/>
                <w:szCs w:val="24"/>
              </w:rPr>
            </w:pPr>
            <w:r>
              <w:rPr>
                <w:rFonts w:asciiTheme="minorEastAsia" w:eastAsiaTheme="minorEastAsia" w:hAnsiTheme="minorEastAsia" w:cs="Times New Roman Regular"/>
                <w:sz w:val="24"/>
                <w:szCs w:val="24"/>
              </w:rPr>
              <w:t>2021-2025</w:t>
            </w:r>
          </w:p>
        </w:tc>
      </w:tr>
      <w:tr w:rsidTr="00AC0AE4">
        <w:tblPrEx>
          <w:tblW w:w="13043" w:type="dxa"/>
          <w:jc w:val="center"/>
          <w:tblLayout w:type="fixed"/>
          <w:tblLook w:val="04A0"/>
        </w:tblPrEx>
        <w:trPr>
          <w:trHeight w:val="510"/>
          <w:jc w:val="center"/>
        </w:trPr>
        <w:tc>
          <w:tcPr>
            <w:tcW w:w="1655" w:type="dxa"/>
            <w:vMerge/>
            <w:vAlign w:val="center"/>
          </w:tcPr>
          <w:p w:rsidR="000E7D14" w:rsidP="00AC0AE4">
            <w:pPr>
              <w:spacing w:line="240" w:lineRule="auto"/>
              <w:rPr>
                <w:rFonts w:asciiTheme="minorEastAsia" w:eastAsiaTheme="minorEastAsia" w:hAnsiTheme="minorEastAsia" w:cs="Times New Roman Regular"/>
                <w:sz w:val="24"/>
                <w:szCs w:val="24"/>
              </w:rPr>
            </w:pPr>
          </w:p>
        </w:tc>
        <w:tc>
          <w:tcPr>
            <w:tcW w:w="687" w:type="dxa"/>
            <w:vAlign w:val="center"/>
          </w:tcPr>
          <w:p w:rsidR="000E7D14" w:rsidP="00AC0AE4">
            <w:pPr>
              <w:spacing w:line="240" w:lineRule="auto"/>
              <w:jc w:val="center"/>
              <w:rPr>
                <w:rFonts w:asciiTheme="minorEastAsia" w:eastAsiaTheme="minorEastAsia" w:hAnsiTheme="minorEastAsia" w:cs="Times New Roman Regular"/>
                <w:sz w:val="24"/>
                <w:szCs w:val="24"/>
              </w:rPr>
            </w:pPr>
            <w:r>
              <w:rPr>
                <w:rFonts w:asciiTheme="minorEastAsia" w:eastAsiaTheme="minorEastAsia" w:hAnsiTheme="minorEastAsia" w:cs="Times New Roman Regular"/>
                <w:sz w:val="24"/>
                <w:szCs w:val="24"/>
              </w:rPr>
              <w:t>15</w:t>
            </w:r>
          </w:p>
        </w:tc>
        <w:tc>
          <w:tcPr>
            <w:tcW w:w="2174" w:type="dxa"/>
            <w:vAlign w:val="center"/>
          </w:tcPr>
          <w:p w:rsidR="000E7D14" w:rsidP="00AC0AE4">
            <w:pPr>
              <w:spacing w:line="240" w:lineRule="auto"/>
              <w:rPr>
                <w:rFonts w:asciiTheme="minorEastAsia" w:eastAsiaTheme="minorEastAsia" w:hAnsiTheme="minorEastAsia" w:cs="Times New Roman Regular"/>
                <w:kern w:val="0"/>
                <w:sz w:val="24"/>
                <w:szCs w:val="24"/>
              </w:rPr>
            </w:pPr>
            <w:r>
              <w:rPr>
                <w:rFonts w:asciiTheme="minorEastAsia" w:eastAsiaTheme="minorEastAsia" w:hAnsiTheme="minorEastAsia" w:cs="Times New Roman Regular"/>
                <w:kern w:val="0"/>
                <w:sz w:val="24"/>
                <w:szCs w:val="24"/>
              </w:rPr>
              <w:t>农药厂地块修复</w:t>
            </w:r>
          </w:p>
        </w:tc>
        <w:tc>
          <w:tcPr>
            <w:tcW w:w="1406" w:type="dxa"/>
            <w:vAlign w:val="center"/>
          </w:tcPr>
          <w:p w:rsidR="000E7D14" w:rsidP="00AC0AE4">
            <w:pPr>
              <w:spacing w:line="240" w:lineRule="auto"/>
              <w:jc w:val="center"/>
              <w:rPr>
                <w:rFonts w:asciiTheme="minorEastAsia" w:eastAsiaTheme="minorEastAsia" w:hAnsiTheme="minorEastAsia" w:cs="Times New Roman Regular"/>
                <w:kern w:val="0"/>
                <w:sz w:val="24"/>
                <w:szCs w:val="24"/>
              </w:rPr>
            </w:pPr>
            <w:r>
              <w:rPr>
                <w:rFonts w:asciiTheme="minorEastAsia" w:eastAsiaTheme="minorEastAsia" w:hAnsiTheme="minorEastAsia" w:cs="Times New Roman Regular"/>
                <w:kern w:val="0"/>
                <w:sz w:val="24"/>
                <w:szCs w:val="24"/>
              </w:rPr>
              <w:t>太仓市土地储备中心</w:t>
            </w:r>
          </w:p>
        </w:tc>
        <w:tc>
          <w:tcPr>
            <w:tcW w:w="4512" w:type="dxa"/>
            <w:vAlign w:val="center"/>
          </w:tcPr>
          <w:p w:rsidR="000E7D14" w:rsidP="00AC0AE4">
            <w:pPr>
              <w:spacing w:line="240" w:lineRule="auto"/>
              <w:rPr>
                <w:rFonts w:asciiTheme="minorEastAsia" w:eastAsiaTheme="minorEastAsia" w:hAnsiTheme="minorEastAsia" w:cs="Times New Roman Regular"/>
                <w:kern w:val="0"/>
                <w:sz w:val="24"/>
                <w:szCs w:val="24"/>
              </w:rPr>
            </w:pPr>
            <w:r>
              <w:rPr>
                <w:rFonts w:asciiTheme="minorEastAsia" w:eastAsiaTheme="minorEastAsia" w:hAnsiTheme="minorEastAsia" w:cs="Times New Roman Regular"/>
                <w:kern w:val="0"/>
                <w:sz w:val="24"/>
                <w:szCs w:val="24"/>
              </w:rPr>
              <w:t>土壤和地下水治理与修复</w:t>
            </w:r>
            <w:r>
              <w:rPr>
                <w:rFonts w:asciiTheme="minorEastAsia" w:eastAsiaTheme="minorEastAsia" w:hAnsiTheme="minorEastAsia" w:cs="Times New Roman Regular" w:hint="eastAsia"/>
                <w:kern w:val="0"/>
                <w:sz w:val="24"/>
                <w:szCs w:val="24"/>
              </w:rPr>
              <w:t>。</w:t>
            </w:r>
          </w:p>
        </w:tc>
        <w:tc>
          <w:tcPr>
            <w:tcW w:w="1305" w:type="dxa"/>
            <w:vAlign w:val="center"/>
          </w:tcPr>
          <w:p w:rsidR="000E7D14" w:rsidP="00AC0AE4">
            <w:pPr>
              <w:spacing w:line="240" w:lineRule="auto"/>
              <w:jc w:val="center"/>
              <w:rPr>
                <w:rFonts w:asciiTheme="minorEastAsia" w:eastAsiaTheme="minorEastAsia" w:hAnsiTheme="minorEastAsia" w:cs="Times New Roman Regular"/>
                <w:sz w:val="24"/>
                <w:szCs w:val="24"/>
              </w:rPr>
            </w:pPr>
            <w:r>
              <w:rPr>
                <w:rFonts w:asciiTheme="minorEastAsia" w:eastAsiaTheme="minorEastAsia" w:hAnsiTheme="minorEastAsia" w:cs="Times New Roman Regular"/>
                <w:sz w:val="24"/>
                <w:szCs w:val="24"/>
              </w:rPr>
              <w:t>5000</w:t>
            </w:r>
          </w:p>
        </w:tc>
        <w:tc>
          <w:tcPr>
            <w:tcW w:w="1304" w:type="dxa"/>
            <w:vAlign w:val="center"/>
          </w:tcPr>
          <w:p w:rsidR="000E7D14" w:rsidP="00AC0AE4">
            <w:pPr>
              <w:spacing w:line="240" w:lineRule="auto"/>
              <w:jc w:val="center"/>
              <w:rPr>
                <w:rFonts w:asciiTheme="minorEastAsia" w:eastAsiaTheme="minorEastAsia" w:hAnsiTheme="minorEastAsia" w:cs="Times New Roman Regular"/>
                <w:sz w:val="24"/>
                <w:szCs w:val="24"/>
              </w:rPr>
            </w:pPr>
            <w:r>
              <w:rPr>
                <w:rFonts w:asciiTheme="minorEastAsia" w:eastAsiaTheme="minorEastAsia" w:hAnsiTheme="minorEastAsia" w:cs="Times New Roman Regular"/>
                <w:sz w:val="24"/>
                <w:szCs w:val="24"/>
              </w:rPr>
              <w:t>2021-2025</w:t>
            </w:r>
          </w:p>
        </w:tc>
      </w:tr>
      <w:tr w:rsidTr="00AC0AE4">
        <w:tblPrEx>
          <w:tblW w:w="13043" w:type="dxa"/>
          <w:jc w:val="center"/>
          <w:tblLayout w:type="fixed"/>
          <w:tblLook w:val="04A0"/>
        </w:tblPrEx>
        <w:trPr>
          <w:trHeight w:val="510"/>
          <w:jc w:val="center"/>
        </w:trPr>
        <w:tc>
          <w:tcPr>
            <w:tcW w:w="1655" w:type="dxa"/>
            <w:vMerge/>
            <w:vAlign w:val="center"/>
          </w:tcPr>
          <w:p w:rsidR="000E7D14" w:rsidP="00AC0AE4">
            <w:pPr>
              <w:spacing w:line="240" w:lineRule="auto"/>
              <w:rPr>
                <w:rFonts w:asciiTheme="minorEastAsia" w:eastAsiaTheme="minorEastAsia" w:hAnsiTheme="minorEastAsia" w:cs="Times New Roman Regular"/>
                <w:sz w:val="24"/>
                <w:szCs w:val="24"/>
              </w:rPr>
            </w:pPr>
          </w:p>
        </w:tc>
        <w:tc>
          <w:tcPr>
            <w:tcW w:w="687" w:type="dxa"/>
            <w:vAlign w:val="center"/>
          </w:tcPr>
          <w:p w:rsidR="000E7D14" w:rsidP="00AC0AE4">
            <w:pPr>
              <w:spacing w:line="240" w:lineRule="auto"/>
              <w:jc w:val="center"/>
              <w:rPr>
                <w:rFonts w:asciiTheme="minorEastAsia" w:eastAsiaTheme="minorEastAsia" w:hAnsiTheme="minorEastAsia" w:cs="Times New Roman Regular"/>
                <w:sz w:val="24"/>
                <w:szCs w:val="24"/>
              </w:rPr>
            </w:pPr>
            <w:r>
              <w:rPr>
                <w:rFonts w:asciiTheme="minorEastAsia" w:eastAsiaTheme="minorEastAsia" w:hAnsiTheme="minorEastAsia" w:cs="Times New Roman Regular"/>
                <w:sz w:val="24"/>
                <w:szCs w:val="24"/>
              </w:rPr>
              <w:t>16</w:t>
            </w:r>
          </w:p>
        </w:tc>
        <w:tc>
          <w:tcPr>
            <w:tcW w:w="2174" w:type="dxa"/>
            <w:vAlign w:val="center"/>
          </w:tcPr>
          <w:p w:rsidR="000E7D14" w:rsidP="00AC0AE4">
            <w:pPr>
              <w:spacing w:line="240" w:lineRule="auto"/>
              <w:rPr>
                <w:rFonts w:asciiTheme="minorEastAsia" w:eastAsiaTheme="minorEastAsia" w:hAnsiTheme="minorEastAsia" w:cs="Times New Roman Regular"/>
                <w:kern w:val="0"/>
                <w:sz w:val="24"/>
                <w:szCs w:val="24"/>
              </w:rPr>
            </w:pPr>
            <w:r>
              <w:rPr>
                <w:rFonts w:asciiTheme="minorEastAsia" w:eastAsiaTheme="minorEastAsia" w:hAnsiTheme="minorEastAsia" w:cs="Times New Roman Regular"/>
                <w:color w:val="0D0D0D"/>
                <w:sz w:val="24"/>
                <w:szCs w:val="24"/>
              </w:rPr>
              <w:t>沙溪镇半径村土壤污染修复工程</w:t>
            </w:r>
          </w:p>
        </w:tc>
        <w:tc>
          <w:tcPr>
            <w:tcW w:w="1406" w:type="dxa"/>
            <w:vAlign w:val="center"/>
          </w:tcPr>
          <w:p w:rsidR="000E7D14" w:rsidP="00AC0AE4">
            <w:pPr>
              <w:spacing w:line="240" w:lineRule="auto"/>
              <w:jc w:val="center"/>
              <w:rPr>
                <w:rFonts w:asciiTheme="minorEastAsia" w:eastAsiaTheme="minorEastAsia" w:hAnsiTheme="minorEastAsia" w:cs="Times New Roman Regular"/>
                <w:kern w:val="0"/>
                <w:sz w:val="24"/>
                <w:szCs w:val="24"/>
              </w:rPr>
            </w:pPr>
            <w:r>
              <w:rPr>
                <w:rFonts w:asciiTheme="minorEastAsia" w:eastAsiaTheme="minorEastAsia" w:hAnsiTheme="minorEastAsia" w:cs="Times New Roman Regular"/>
                <w:color w:val="0D0D0D"/>
                <w:sz w:val="24"/>
                <w:szCs w:val="24"/>
              </w:rPr>
              <w:t>太仓生态环境局</w:t>
            </w:r>
          </w:p>
        </w:tc>
        <w:tc>
          <w:tcPr>
            <w:tcW w:w="4512" w:type="dxa"/>
            <w:vAlign w:val="center"/>
          </w:tcPr>
          <w:p w:rsidR="000E7D14" w:rsidP="00AC0AE4">
            <w:pPr>
              <w:spacing w:line="240" w:lineRule="auto"/>
              <w:rPr>
                <w:rFonts w:asciiTheme="minorEastAsia" w:eastAsiaTheme="minorEastAsia" w:hAnsiTheme="minorEastAsia" w:cs="Times New Roman Regular"/>
                <w:kern w:val="0"/>
                <w:sz w:val="24"/>
                <w:szCs w:val="24"/>
              </w:rPr>
            </w:pPr>
            <w:r>
              <w:rPr>
                <w:rFonts w:asciiTheme="minorEastAsia" w:eastAsiaTheme="minorEastAsia" w:hAnsiTheme="minorEastAsia" w:cs="Times New Roman Regular"/>
                <w:color w:val="0D0D0D"/>
                <w:sz w:val="24"/>
                <w:szCs w:val="24"/>
              </w:rPr>
              <w:t>修复被原粮油化工有限公司污染地块。</w:t>
            </w:r>
          </w:p>
        </w:tc>
        <w:tc>
          <w:tcPr>
            <w:tcW w:w="1305" w:type="dxa"/>
            <w:vAlign w:val="center"/>
          </w:tcPr>
          <w:p w:rsidR="000E7D14" w:rsidP="00AC0AE4">
            <w:pPr>
              <w:spacing w:line="240" w:lineRule="auto"/>
              <w:jc w:val="center"/>
              <w:rPr>
                <w:rFonts w:asciiTheme="minorEastAsia" w:eastAsiaTheme="minorEastAsia" w:hAnsiTheme="minorEastAsia" w:cs="Times New Roman Regular"/>
                <w:sz w:val="24"/>
                <w:szCs w:val="24"/>
              </w:rPr>
            </w:pPr>
            <w:r>
              <w:rPr>
                <w:rFonts w:asciiTheme="minorEastAsia" w:eastAsiaTheme="minorEastAsia" w:hAnsiTheme="minorEastAsia" w:cs="Times New Roman Regular"/>
                <w:sz w:val="24"/>
                <w:szCs w:val="24"/>
              </w:rPr>
              <w:t>500</w:t>
            </w:r>
          </w:p>
        </w:tc>
        <w:tc>
          <w:tcPr>
            <w:tcW w:w="1304" w:type="dxa"/>
            <w:vAlign w:val="center"/>
          </w:tcPr>
          <w:p w:rsidR="000E7D14" w:rsidP="00AC0AE4">
            <w:pPr>
              <w:spacing w:line="240" w:lineRule="auto"/>
              <w:jc w:val="center"/>
              <w:rPr>
                <w:rFonts w:asciiTheme="minorEastAsia" w:eastAsiaTheme="minorEastAsia" w:hAnsiTheme="minorEastAsia" w:cs="Times New Roman Regular"/>
                <w:sz w:val="24"/>
                <w:szCs w:val="24"/>
              </w:rPr>
            </w:pPr>
            <w:r>
              <w:rPr>
                <w:rFonts w:asciiTheme="minorEastAsia" w:eastAsiaTheme="minorEastAsia" w:hAnsiTheme="minorEastAsia" w:cs="Times New Roman Regular"/>
                <w:sz w:val="24"/>
                <w:szCs w:val="24"/>
              </w:rPr>
              <w:t>2021-2025</w:t>
            </w:r>
          </w:p>
        </w:tc>
      </w:tr>
      <w:tr w:rsidTr="00AC0AE4">
        <w:tblPrEx>
          <w:tblW w:w="13043" w:type="dxa"/>
          <w:jc w:val="center"/>
          <w:tblLayout w:type="fixed"/>
          <w:tblLook w:val="04A0"/>
        </w:tblPrEx>
        <w:trPr>
          <w:trHeight w:val="1782"/>
          <w:jc w:val="center"/>
        </w:trPr>
        <w:tc>
          <w:tcPr>
            <w:tcW w:w="1655" w:type="dxa"/>
            <w:vAlign w:val="center"/>
          </w:tcPr>
          <w:p w:rsidR="000E7D14" w:rsidP="00AC0AE4">
            <w:pPr>
              <w:spacing w:line="240" w:lineRule="auto"/>
              <w:rPr>
                <w:rFonts w:asciiTheme="minorEastAsia" w:eastAsiaTheme="minorEastAsia" w:hAnsiTheme="minorEastAsia" w:cs="Times New Roman Regular"/>
                <w:sz w:val="24"/>
                <w:szCs w:val="24"/>
              </w:rPr>
            </w:pPr>
            <w:r>
              <w:rPr>
                <w:rFonts w:asciiTheme="minorEastAsia" w:eastAsiaTheme="minorEastAsia" w:hAnsiTheme="minorEastAsia" w:cs="Times New Roman Regular"/>
                <w:sz w:val="24"/>
                <w:szCs w:val="24"/>
              </w:rPr>
              <w:t>四、生态系统保护修复</w:t>
            </w:r>
          </w:p>
        </w:tc>
        <w:tc>
          <w:tcPr>
            <w:tcW w:w="687" w:type="dxa"/>
            <w:vAlign w:val="center"/>
          </w:tcPr>
          <w:p w:rsidR="000E7D14" w:rsidP="00AC0AE4">
            <w:pPr>
              <w:spacing w:line="240" w:lineRule="auto"/>
              <w:jc w:val="center"/>
              <w:rPr>
                <w:rFonts w:asciiTheme="minorEastAsia" w:eastAsiaTheme="minorEastAsia" w:hAnsiTheme="minorEastAsia" w:cs="Times New Roman Regular"/>
                <w:sz w:val="24"/>
                <w:szCs w:val="24"/>
              </w:rPr>
            </w:pPr>
            <w:r>
              <w:rPr>
                <w:rFonts w:asciiTheme="minorEastAsia" w:eastAsiaTheme="minorEastAsia" w:hAnsiTheme="minorEastAsia" w:cs="Times New Roman Regular"/>
                <w:sz w:val="24"/>
                <w:szCs w:val="24"/>
              </w:rPr>
              <w:t>17</w:t>
            </w:r>
          </w:p>
        </w:tc>
        <w:tc>
          <w:tcPr>
            <w:tcW w:w="2174" w:type="dxa"/>
            <w:vAlign w:val="center"/>
          </w:tcPr>
          <w:p w:rsidR="000E7D14" w:rsidP="00AC0AE4">
            <w:pPr>
              <w:tabs>
                <w:tab w:val="left" w:pos="1559"/>
              </w:tabs>
              <w:overflowPunct w:val="0"/>
              <w:autoSpaceDE w:val="0"/>
              <w:autoSpaceDN w:val="0"/>
              <w:snapToGrid w:val="0"/>
              <w:spacing w:line="240" w:lineRule="auto"/>
              <w:ind w:right="-38" w:rightChars="-12"/>
              <w:rPr>
                <w:rFonts w:asciiTheme="minorEastAsia" w:eastAsiaTheme="minorEastAsia" w:hAnsiTheme="minorEastAsia" w:cs="Times New Roman Regular"/>
                <w:kern w:val="0"/>
                <w:sz w:val="24"/>
                <w:szCs w:val="24"/>
              </w:rPr>
            </w:pPr>
            <w:r>
              <w:rPr>
                <w:rFonts w:asciiTheme="minorEastAsia" w:eastAsiaTheme="minorEastAsia" w:hAnsiTheme="minorEastAsia" w:cs="Times New Roman Regular"/>
                <w:color w:val="0D0D0D"/>
                <w:sz w:val="24"/>
                <w:szCs w:val="24"/>
              </w:rPr>
              <w:t>生物多样性保护</w:t>
            </w:r>
          </w:p>
        </w:tc>
        <w:tc>
          <w:tcPr>
            <w:tcW w:w="1406" w:type="dxa"/>
            <w:vAlign w:val="center"/>
          </w:tcPr>
          <w:p w:rsidR="000E7D14" w:rsidP="00AC0AE4">
            <w:pPr>
              <w:overflowPunct w:val="0"/>
              <w:autoSpaceDE w:val="0"/>
              <w:autoSpaceDN w:val="0"/>
              <w:snapToGrid w:val="0"/>
              <w:spacing w:line="240" w:lineRule="auto"/>
              <w:jc w:val="center"/>
              <w:rPr>
                <w:rFonts w:asciiTheme="minorEastAsia" w:eastAsiaTheme="minorEastAsia" w:hAnsiTheme="minorEastAsia" w:cs="Times New Roman Regular"/>
                <w:kern w:val="0"/>
                <w:sz w:val="24"/>
                <w:szCs w:val="24"/>
              </w:rPr>
            </w:pPr>
            <w:r>
              <w:rPr>
                <w:rFonts w:asciiTheme="minorEastAsia" w:eastAsiaTheme="minorEastAsia" w:hAnsiTheme="minorEastAsia" w:cs="Times New Roman Regular"/>
                <w:color w:val="0D0D0D"/>
                <w:sz w:val="24"/>
                <w:szCs w:val="24"/>
              </w:rPr>
              <w:t>太仓生态环境局</w:t>
            </w:r>
          </w:p>
        </w:tc>
        <w:tc>
          <w:tcPr>
            <w:tcW w:w="4512" w:type="dxa"/>
            <w:vAlign w:val="center"/>
          </w:tcPr>
          <w:p w:rsidR="000E7D14" w:rsidP="00AC0AE4">
            <w:pPr>
              <w:overflowPunct w:val="0"/>
              <w:autoSpaceDE w:val="0"/>
              <w:autoSpaceDN w:val="0"/>
              <w:snapToGrid w:val="0"/>
              <w:spacing w:line="240" w:lineRule="auto"/>
              <w:jc w:val="left"/>
              <w:rPr>
                <w:rFonts w:asciiTheme="minorEastAsia" w:eastAsiaTheme="minorEastAsia" w:hAnsiTheme="minorEastAsia" w:cs="Times New Roman Regular"/>
                <w:kern w:val="0"/>
                <w:sz w:val="24"/>
                <w:szCs w:val="24"/>
              </w:rPr>
            </w:pPr>
            <w:r>
              <w:rPr>
                <w:rFonts w:asciiTheme="minorEastAsia" w:eastAsiaTheme="minorEastAsia" w:hAnsiTheme="minorEastAsia" w:cs="Times New Roman Regular"/>
                <w:color w:val="0D0D0D"/>
                <w:sz w:val="24"/>
                <w:szCs w:val="24"/>
              </w:rPr>
              <w:t>以长江为重点区域，对列入国家、省级重点保护名录中的野生动植物开展全面细致的本底资源调查，配合编制苏州市生物多样性物种保护目录，加强生物多样性监测监控预警能力建设。</w:t>
            </w:r>
          </w:p>
        </w:tc>
        <w:tc>
          <w:tcPr>
            <w:tcW w:w="1305" w:type="dxa"/>
            <w:vAlign w:val="center"/>
          </w:tcPr>
          <w:p w:rsidR="000E7D14" w:rsidP="00AC0AE4">
            <w:pPr>
              <w:widowControl/>
              <w:spacing w:before="62" w:beforeLines="20" w:after="62" w:afterLines="20" w:line="240" w:lineRule="auto"/>
              <w:jc w:val="center"/>
              <w:rPr>
                <w:rFonts w:asciiTheme="minorEastAsia" w:eastAsiaTheme="minorEastAsia" w:hAnsiTheme="minorEastAsia" w:cs="Times New Roman Regular"/>
                <w:kern w:val="0"/>
                <w:sz w:val="24"/>
                <w:szCs w:val="24"/>
              </w:rPr>
            </w:pPr>
            <w:r>
              <w:rPr>
                <w:rFonts w:asciiTheme="minorEastAsia" w:eastAsiaTheme="minorEastAsia" w:hAnsiTheme="minorEastAsia" w:cs="Times New Roman Regular"/>
                <w:kern w:val="0"/>
                <w:sz w:val="24"/>
                <w:szCs w:val="24"/>
              </w:rPr>
              <w:t>200</w:t>
            </w:r>
          </w:p>
        </w:tc>
        <w:tc>
          <w:tcPr>
            <w:tcW w:w="1304" w:type="dxa"/>
            <w:vAlign w:val="center"/>
          </w:tcPr>
          <w:p w:rsidR="000E7D14" w:rsidP="00AC0AE4">
            <w:pPr>
              <w:spacing w:line="240" w:lineRule="auto"/>
              <w:jc w:val="center"/>
              <w:rPr>
                <w:rFonts w:asciiTheme="minorEastAsia" w:eastAsiaTheme="minorEastAsia" w:hAnsiTheme="minorEastAsia" w:cs="Times New Roman Regular"/>
                <w:kern w:val="0"/>
                <w:sz w:val="24"/>
                <w:szCs w:val="24"/>
              </w:rPr>
            </w:pPr>
            <w:r>
              <w:rPr>
                <w:rFonts w:asciiTheme="minorEastAsia" w:eastAsiaTheme="minorEastAsia" w:hAnsiTheme="minorEastAsia" w:cs="Times New Roman Regular"/>
                <w:kern w:val="0"/>
                <w:sz w:val="24"/>
                <w:szCs w:val="24"/>
              </w:rPr>
              <w:t>2021-2025</w:t>
            </w:r>
          </w:p>
        </w:tc>
      </w:tr>
      <w:tr w:rsidTr="00AC0AE4">
        <w:tblPrEx>
          <w:tblW w:w="13043" w:type="dxa"/>
          <w:jc w:val="center"/>
          <w:tblLayout w:type="fixed"/>
          <w:tblLook w:val="04A0"/>
        </w:tblPrEx>
        <w:trPr>
          <w:trHeight w:val="510"/>
          <w:jc w:val="center"/>
        </w:trPr>
        <w:tc>
          <w:tcPr>
            <w:tcW w:w="1655" w:type="dxa"/>
            <w:vMerge w:val="restart"/>
            <w:vAlign w:val="center"/>
          </w:tcPr>
          <w:p w:rsidR="000E7D14" w:rsidP="00AC0AE4">
            <w:pPr>
              <w:spacing w:line="240" w:lineRule="auto"/>
              <w:rPr>
                <w:rFonts w:asciiTheme="minorEastAsia" w:eastAsiaTheme="minorEastAsia" w:hAnsiTheme="minorEastAsia" w:cs="Times New Roman Regular"/>
                <w:sz w:val="24"/>
                <w:szCs w:val="24"/>
              </w:rPr>
            </w:pPr>
            <w:r>
              <w:rPr>
                <w:rFonts w:asciiTheme="minorEastAsia" w:eastAsiaTheme="minorEastAsia" w:hAnsiTheme="minorEastAsia" w:cs="Times New Roman Regular"/>
                <w:sz w:val="24"/>
                <w:szCs w:val="24"/>
              </w:rPr>
              <w:t>五、城乡环境综合整治</w:t>
            </w:r>
          </w:p>
        </w:tc>
        <w:tc>
          <w:tcPr>
            <w:tcW w:w="687" w:type="dxa"/>
            <w:vAlign w:val="center"/>
          </w:tcPr>
          <w:p w:rsidR="000E7D14" w:rsidP="00AC0AE4">
            <w:pPr>
              <w:spacing w:line="240" w:lineRule="auto"/>
              <w:jc w:val="center"/>
              <w:rPr>
                <w:rFonts w:asciiTheme="minorEastAsia" w:eastAsiaTheme="minorEastAsia" w:hAnsiTheme="minorEastAsia" w:cs="Times New Roman Regular"/>
                <w:sz w:val="24"/>
                <w:szCs w:val="24"/>
              </w:rPr>
            </w:pPr>
            <w:r>
              <w:rPr>
                <w:rFonts w:asciiTheme="minorEastAsia" w:eastAsiaTheme="minorEastAsia" w:hAnsiTheme="minorEastAsia" w:cs="Times New Roman Regular" w:hint="eastAsia"/>
                <w:sz w:val="24"/>
                <w:szCs w:val="24"/>
              </w:rPr>
              <w:t>18</w:t>
            </w:r>
          </w:p>
        </w:tc>
        <w:tc>
          <w:tcPr>
            <w:tcW w:w="2174" w:type="dxa"/>
            <w:vAlign w:val="center"/>
          </w:tcPr>
          <w:p w:rsidR="000E7D14" w:rsidP="00AC0AE4">
            <w:pPr>
              <w:spacing w:line="240" w:lineRule="auto"/>
              <w:rPr>
                <w:rFonts w:asciiTheme="minorEastAsia" w:eastAsiaTheme="minorEastAsia" w:hAnsiTheme="minorEastAsia" w:cs="Times New Roman Regular"/>
                <w:sz w:val="24"/>
                <w:szCs w:val="24"/>
              </w:rPr>
            </w:pPr>
            <w:r>
              <w:rPr>
                <w:rFonts w:asciiTheme="minorEastAsia" w:eastAsiaTheme="minorEastAsia" w:hAnsiTheme="minorEastAsia" w:cs="Times New Roman Regular"/>
                <w:sz w:val="24"/>
                <w:szCs w:val="24"/>
              </w:rPr>
              <w:t>秸秆收集与还田</w:t>
            </w:r>
          </w:p>
        </w:tc>
        <w:tc>
          <w:tcPr>
            <w:tcW w:w="1406" w:type="dxa"/>
            <w:vAlign w:val="center"/>
          </w:tcPr>
          <w:p w:rsidR="000E7D14" w:rsidP="00AC0AE4">
            <w:pPr>
              <w:spacing w:line="240" w:lineRule="auto"/>
              <w:jc w:val="center"/>
              <w:rPr>
                <w:rFonts w:asciiTheme="minorEastAsia" w:eastAsiaTheme="minorEastAsia" w:hAnsiTheme="minorEastAsia" w:cs="Times New Roman Regular"/>
                <w:sz w:val="24"/>
                <w:szCs w:val="24"/>
              </w:rPr>
            </w:pPr>
            <w:r>
              <w:rPr>
                <w:rFonts w:asciiTheme="minorEastAsia" w:eastAsiaTheme="minorEastAsia" w:hAnsiTheme="minorEastAsia" w:cs="Times New Roman Regular"/>
                <w:sz w:val="24"/>
                <w:szCs w:val="24"/>
              </w:rPr>
              <w:t>太仓市农业农村局</w:t>
            </w:r>
          </w:p>
        </w:tc>
        <w:tc>
          <w:tcPr>
            <w:tcW w:w="4512" w:type="dxa"/>
            <w:vAlign w:val="center"/>
          </w:tcPr>
          <w:p w:rsidR="000E7D14" w:rsidP="00AC0AE4">
            <w:pPr>
              <w:spacing w:line="240" w:lineRule="auto"/>
              <w:rPr>
                <w:rFonts w:asciiTheme="minorEastAsia" w:eastAsiaTheme="minorEastAsia" w:hAnsiTheme="minorEastAsia" w:cs="Times New Roman Regular"/>
                <w:sz w:val="24"/>
                <w:szCs w:val="24"/>
              </w:rPr>
            </w:pPr>
            <w:r>
              <w:rPr>
                <w:rFonts w:asciiTheme="minorEastAsia" w:eastAsiaTheme="minorEastAsia" w:hAnsiTheme="minorEastAsia" w:cs="Times New Roman Regular"/>
                <w:sz w:val="24"/>
                <w:szCs w:val="24"/>
              </w:rPr>
              <w:t>秸秆收集与还田</w:t>
            </w:r>
            <w:r>
              <w:rPr>
                <w:rFonts w:asciiTheme="minorEastAsia" w:eastAsiaTheme="minorEastAsia" w:hAnsiTheme="minorEastAsia" w:cs="Times New Roman Regular" w:hint="eastAsia"/>
                <w:sz w:val="24"/>
                <w:szCs w:val="24"/>
              </w:rPr>
              <w:t>。</w:t>
            </w:r>
          </w:p>
        </w:tc>
        <w:tc>
          <w:tcPr>
            <w:tcW w:w="1305" w:type="dxa"/>
            <w:vAlign w:val="center"/>
          </w:tcPr>
          <w:p w:rsidR="000E7D14" w:rsidP="00AC0AE4">
            <w:pPr>
              <w:spacing w:line="240" w:lineRule="auto"/>
              <w:jc w:val="center"/>
              <w:rPr>
                <w:rFonts w:asciiTheme="minorEastAsia" w:eastAsiaTheme="minorEastAsia" w:hAnsiTheme="minorEastAsia" w:cs="Times New Roman Regular"/>
                <w:sz w:val="24"/>
                <w:szCs w:val="24"/>
              </w:rPr>
            </w:pPr>
            <w:r>
              <w:rPr>
                <w:rFonts w:asciiTheme="minorEastAsia" w:eastAsiaTheme="minorEastAsia" w:hAnsiTheme="minorEastAsia" w:cs="Times New Roman Regular"/>
                <w:sz w:val="24"/>
                <w:szCs w:val="24"/>
              </w:rPr>
              <w:t>2000</w:t>
            </w:r>
          </w:p>
        </w:tc>
        <w:tc>
          <w:tcPr>
            <w:tcW w:w="1304" w:type="dxa"/>
            <w:vAlign w:val="center"/>
          </w:tcPr>
          <w:p w:rsidR="000E7D14" w:rsidP="00AC0AE4">
            <w:pPr>
              <w:spacing w:line="240" w:lineRule="auto"/>
              <w:jc w:val="center"/>
              <w:rPr>
                <w:rFonts w:asciiTheme="minorEastAsia" w:eastAsiaTheme="minorEastAsia" w:hAnsiTheme="minorEastAsia" w:cs="Times New Roman Regular"/>
                <w:sz w:val="24"/>
                <w:szCs w:val="24"/>
              </w:rPr>
            </w:pPr>
            <w:r>
              <w:rPr>
                <w:rFonts w:asciiTheme="minorEastAsia" w:eastAsiaTheme="minorEastAsia" w:hAnsiTheme="minorEastAsia" w:cs="Times New Roman Regular"/>
                <w:sz w:val="24"/>
                <w:szCs w:val="24"/>
              </w:rPr>
              <w:t>2021-2025</w:t>
            </w:r>
          </w:p>
        </w:tc>
      </w:tr>
      <w:tr w:rsidTr="00AC0AE4">
        <w:tblPrEx>
          <w:tblW w:w="13043" w:type="dxa"/>
          <w:jc w:val="center"/>
          <w:tblLayout w:type="fixed"/>
          <w:tblLook w:val="04A0"/>
        </w:tblPrEx>
        <w:trPr>
          <w:trHeight w:val="510"/>
          <w:jc w:val="center"/>
        </w:trPr>
        <w:tc>
          <w:tcPr>
            <w:tcW w:w="1655" w:type="dxa"/>
            <w:vMerge/>
            <w:vAlign w:val="center"/>
          </w:tcPr>
          <w:p w:rsidR="000E7D14" w:rsidP="00AC0AE4">
            <w:pPr>
              <w:spacing w:line="240" w:lineRule="auto"/>
              <w:rPr>
                <w:rFonts w:asciiTheme="minorEastAsia" w:eastAsiaTheme="minorEastAsia" w:hAnsiTheme="minorEastAsia" w:cs="Times New Roman Regular"/>
                <w:sz w:val="24"/>
                <w:szCs w:val="24"/>
              </w:rPr>
            </w:pPr>
          </w:p>
        </w:tc>
        <w:tc>
          <w:tcPr>
            <w:tcW w:w="687" w:type="dxa"/>
            <w:vAlign w:val="center"/>
          </w:tcPr>
          <w:p w:rsidR="000E7D14" w:rsidP="00AC0AE4">
            <w:pPr>
              <w:spacing w:line="240" w:lineRule="auto"/>
              <w:jc w:val="center"/>
              <w:rPr>
                <w:rFonts w:asciiTheme="minorEastAsia" w:eastAsiaTheme="minorEastAsia" w:hAnsiTheme="minorEastAsia" w:cs="Times New Roman Regular"/>
                <w:sz w:val="24"/>
                <w:szCs w:val="24"/>
              </w:rPr>
            </w:pPr>
            <w:r>
              <w:rPr>
                <w:rFonts w:asciiTheme="minorEastAsia" w:eastAsiaTheme="minorEastAsia" w:hAnsiTheme="minorEastAsia" w:cs="Times New Roman Regular" w:hint="eastAsia"/>
                <w:sz w:val="24"/>
                <w:szCs w:val="24"/>
              </w:rPr>
              <w:t>19</w:t>
            </w:r>
          </w:p>
        </w:tc>
        <w:tc>
          <w:tcPr>
            <w:tcW w:w="2174" w:type="dxa"/>
            <w:vAlign w:val="center"/>
          </w:tcPr>
          <w:p w:rsidR="000E7D14" w:rsidP="00AC0AE4">
            <w:pPr>
              <w:spacing w:line="240" w:lineRule="auto"/>
              <w:rPr>
                <w:rFonts w:asciiTheme="minorEastAsia" w:eastAsiaTheme="minorEastAsia" w:hAnsiTheme="minorEastAsia" w:cs="Times New Roman Regular"/>
                <w:sz w:val="24"/>
                <w:szCs w:val="24"/>
              </w:rPr>
            </w:pPr>
            <w:r>
              <w:rPr>
                <w:rFonts w:asciiTheme="minorEastAsia" w:eastAsiaTheme="minorEastAsia" w:hAnsiTheme="minorEastAsia" w:cs="Times New Roman Regular"/>
                <w:sz w:val="24"/>
                <w:szCs w:val="24"/>
              </w:rPr>
              <w:t>村庄有机垃圾就近处理</w:t>
            </w:r>
          </w:p>
        </w:tc>
        <w:tc>
          <w:tcPr>
            <w:tcW w:w="1406" w:type="dxa"/>
            <w:vAlign w:val="center"/>
          </w:tcPr>
          <w:p w:rsidR="000E7D14" w:rsidP="00AC0AE4">
            <w:pPr>
              <w:spacing w:line="240" w:lineRule="auto"/>
              <w:jc w:val="center"/>
              <w:rPr>
                <w:rFonts w:asciiTheme="minorEastAsia" w:eastAsiaTheme="minorEastAsia" w:hAnsiTheme="minorEastAsia" w:cs="Times New Roman Regular"/>
                <w:sz w:val="24"/>
                <w:szCs w:val="24"/>
              </w:rPr>
            </w:pPr>
            <w:r>
              <w:rPr>
                <w:rFonts w:asciiTheme="minorEastAsia" w:eastAsiaTheme="minorEastAsia" w:hAnsiTheme="minorEastAsia" w:cs="Times New Roman Regular"/>
                <w:sz w:val="24"/>
                <w:szCs w:val="24"/>
              </w:rPr>
              <w:t>太仓市农业农村局</w:t>
            </w:r>
          </w:p>
        </w:tc>
        <w:tc>
          <w:tcPr>
            <w:tcW w:w="4512" w:type="dxa"/>
            <w:vAlign w:val="center"/>
          </w:tcPr>
          <w:p w:rsidR="000E7D14" w:rsidP="00AC0AE4">
            <w:pPr>
              <w:spacing w:line="240" w:lineRule="auto"/>
              <w:rPr>
                <w:rFonts w:asciiTheme="minorEastAsia" w:eastAsiaTheme="minorEastAsia" w:hAnsiTheme="minorEastAsia" w:cs="Times New Roman Regular"/>
                <w:sz w:val="24"/>
                <w:szCs w:val="24"/>
              </w:rPr>
            </w:pPr>
            <w:r>
              <w:rPr>
                <w:rFonts w:asciiTheme="minorEastAsia" w:eastAsiaTheme="minorEastAsia" w:hAnsiTheme="minorEastAsia" w:cs="Times New Roman Regular" w:hint="eastAsia"/>
                <w:sz w:val="24"/>
                <w:szCs w:val="24"/>
              </w:rPr>
              <w:t>有机废弃物</w:t>
            </w:r>
            <w:r>
              <w:rPr>
                <w:rFonts w:asciiTheme="minorEastAsia" w:eastAsiaTheme="minorEastAsia" w:hAnsiTheme="minorEastAsia" w:cs="Times New Roman Regular"/>
                <w:sz w:val="24"/>
                <w:szCs w:val="24"/>
              </w:rPr>
              <w:t>区域定点轻简堆肥</w:t>
            </w:r>
            <w:r>
              <w:rPr>
                <w:rFonts w:asciiTheme="minorEastAsia" w:eastAsiaTheme="minorEastAsia" w:hAnsiTheme="minorEastAsia" w:cs="Times New Roman Regular" w:hint="eastAsia"/>
                <w:sz w:val="24"/>
                <w:szCs w:val="24"/>
              </w:rPr>
              <w:t>。</w:t>
            </w:r>
          </w:p>
        </w:tc>
        <w:tc>
          <w:tcPr>
            <w:tcW w:w="1305" w:type="dxa"/>
            <w:vAlign w:val="center"/>
          </w:tcPr>
          <w:p w:rsidR="000E7D14" w:rsidP="00AC0AE4">
            <w:pPr>
              <w:spacing w:line="240" w:lineRule="auto"/>
              <w:jc w:val="center"/>
              <w:rPr>
                <w:rFonts w:asciiTheme="minorEastAsia" w:eastAsiaTheme="minorEastAsia" w:hAnsiTheme="minorEastAsia" w:cs="Times New Roman Regular"/>
                <w:sz w:val="24"/>
                <w:szCs w:val="24"/>
              </w:rPr>
            </w:pPr>
            <w:r>
              <w:rPr>
                <w:rFonts w:asciiTheme="minorEastAsia" w:eastAsiaTheme="minorEastAsia" w:hAnsiTheme="minorEastAsia" w:cs="Times New Roman Regular"/>
                <w:sz w:val="24"/>
                <w:szCs w:val="24"/>
              </w:rPr>
              <w:t>500</w:t>
            </w:r>
          </w:p>
        </w:tc>
        <w:tc>
          <w:tcPr>
            <w:tcW w:w="1304" w:type="dxa"/>
            <w:vAlign w:val="center"/>
          </w:tcPr>
          <w:p w:rsidR="000E7D14" w:rsidP="00AC0AE4">
            <w:pPr>
              <w:spacing w:line="240" w:lineRule="auto"/>
              <w:jc w:val="center"/>
              <w:rPr>
                <w:rFonts w:asciiTheme="minorEastAsia" w:eastAsiaTheme="minorEastAsia" w:hAnsiTheme="minorEastAsia" w:cs="Times New Roman Regular"/>
                <w:sz w:val="24"/>
                <w:szCs w:val="24"/>
              </w:rPr>
            </w:pPr>
            <w:r>
              <w:rPr>
                <w:rFonts w:asciiTheme="minorEastAsia" w:eastAsiaTheme="minorEastAsia" w:hAnsiTheme="minorEastAsia" w:cs="Times New Roman Regular"/>
                <w:sz w:val="24"/>
                <w:szCs w:val="24"/>
              </w:rPr>
              <w:t>2021-2025</w:t>
            </w:r>
          </w:p>
        </w:tc>
      </w:tr>
      <w:tr w:rsidTr="00AC0AE4">
        <w:tblPrEx>
          <w:tblW w:w="13043" w:type="dxa"/>
          <w:jc w:val="center"/>
          <w:tblLayout w:type="fixed"/>
          <w:tblLook w:val="04A0"/>
        </w:tblPrEx>
        <w:trPr>
          <w:trHeight w:val="510"/>
          <w:jc w:val="center"/>
        </w:trPr>
        <w:tc>
          <w:tcPr>
            <w:tcW w:w="1655" w:type="dxa"/>
            <w:vMerge/>
            <w:vAlign w:val="center"/>
          </w:tcPr>
          <w:p w:rsidR="000E7D14" w:rsidP="00AC0AE4">
            <w:pPr>
              <w:spacing w:line="240" w:lineRule="auto"/>
              <w:rPr>
                <w:rFonts w:asciiTheme="minorEastAsia" w:eastAsiaTheme="minorEastAsia" w:hAnsiTheme="minorEastAsia" w:cs="Times New Roman Regular"/>
                <w:sz w:val="24"/>
                <w:szCs w:val="24"/>
              </w:rPr>
            </w:pPr>
          </w:p>
        </w:tc>
        <w:tc>
          <w:tcPr>
            <w:tcW w:w="687" w:type="dxa"/>
            <w:vAlign w:val="center"/>
          </w:tcPr>
          <w:p w:rsidR="000E7D14" w:rsidP="00AC0AE4">
            <w:pPr>
              <w:spacing w:line="240" w:lineRule="auto"/>
              <w:jc w:val="center"/>
              <w:rPr>
                <w:rFonts w:asciiTheme="minorEastAsia" w:eastAsiaTheme="minorEastAsia" w:hAnsiTheme="minorEastAsia" w:cs="Times New Roman Regular"/>
                <w:sz w:val="24"/>
                <w:szCs w:val="24"/>
              </w:rPr>
            </w:pPr>
            <w:r>
              <w:rPr>
                <w:rFonts w:asciiTheme="minorEastAsia" w:eastAsiaTheme="minorEastAsia" w:hAnsiTheme="minorEastAsia" w:cs="Times New Roman Regular" w:hint="eastAsia"/>
                <w:sz w:val="24"/>
                <w:szCs w:val="24"/>
              </w:rPr>
              <w:t>20</w:t>
            </w:r>
          </w:p>
        </w:tc>
        <w:tc>
          <w:tcPr>
            <w:tcW w:w="2174" w:type="dxa"/>
            <w:vAlign w:val="center"/>
          </w:tcPr>
          <w:p w:rsidR="000E7D14" w:rsidP="00AC0AE4">
            <w:pPr>
              <w:spacing w:line="240" w:lineRule="auto"/>
              <w:rPr>
                <w:rFonts w:asciiTheme="minorEastAsia" w:eastAsiaTheme="minorEastAsia" w:hAnsiTheme="minorEastAsia" w:cs="Times New Roman Regular"/>
                <w:sz w:val="24"/>
                <w:szCs w:val="24"/>
              </w:rPr>
            </w:pPr>
            <w:r>
              <w:rPr>
                <w:rFonts w:asciiTheme="minorEastAsia" w:eastAsiaTheme="minorEastAsia" w:hAnsiTheme="minorEastAsia" w:cs="Times New Roman Regular"/>
                <w:color w:val="0D0D0D"/>
                <w:sz w:val="24"/>
                <w:szCs w:val="24"/>
              </w:rPr>
              <w:t>农村生活污水治理</w:t>
            </w:r>
          </w:p>
        </w:tc>
        <w:tc>
          <w:tcPr>
            <w:tcW w:w="1406" w:type="dxa"/>
            <w:vAlign w:val="center"/>
          </w:tcPr>
          <w:p w:rsidR="000E7D14" w:rsidP="00AC0AE4">
            <w:pPr>
              <w:spacing w:line="240" w:lineRule="auto"/>
              <w:jc w:val="center"/>
              <w:rPr>
                <w:rFonts w:asciiTheme="minorEastAsia" w:eastAsiaTheme="minorEastAsia" w:hAnsiTheme="minorEastAsia" w:cs="Times New Roman Regular"/>
                <w:sz w:val="24"/>
                <w:szCs w:val="24"/>
              </w:rPr>
            </w:pPr>
            <w:r>
              <w:rPr>
                <w:rFonts w:asciiTheme="minorEastAsia" w:eastAsiaTheme="minorEastAsia" w:hAnsiTheme="minorEastAsia" w:cs="Times New Roman Regular" w:hint="eastAsia"/>
                <w:color w:val="0D0D0D"/>
                <w:sz w:val="24"/>
                <w:szCs w:val="24"/>
              </w:rPr>
              <w:t>各区镇</w:t>
            </w:r>
          </w:p>
        </w:tc>
        <w:tc>
          <w:tcPr>
            <w:tcW w:w="4512" w:type="dxa"/>
            <w:vAlign w:val="center"/>
          </w:tcPr>
          <w:p w:rsidR="000E7D14" w:rsidP="00AC0AE4">
            <w:pPr>
              <w:spacing w:line="240" w:lineRule="auto"/>
              <w:rPr>
                <w:rFonts w:asciiTheme="minorEastAsia" w:eastAsiaTheme="minorEastAsia" w:hAnsiTheme="minorEastAsia" w:cs="Times New Roman Regular"/>
                <w:sz w:val="24"/>
                <w:szCs w:val="24"/>
              </w:rPr>
            </w:pPr>
            <w:r>
              <w:rPr>
                <w:rFonts w:asciiTheme="minorEastAsia" w:eastAsiaTheme="minorEastAsia" w:hAnsiTheme="minorEastAsia" w:cs="Times New Roman Regular"/>
                <w:color w:val="0D0D0D"/>
                <w:sz w:val="24"/>
                <w:szCs w:val="24"/>
              </w:rPr>
              <w:t>加快农村生活污水治理设施建设，提升农村生活污水治理水平。</w:t>
            </w:r>
          </w:p>
        </w:tc>
        <w:tc>
          <w:tcPr>
            <w:tcW w:w="1305" w:type="dxa"/>
            <w:vAlign w:val="center"/>
          </w:tcPr>
          <w:p w:rsidR="000E7D14" w:rsidP="00AC0AE4">
            <w:pPr>
              <w:spacing w:line="240" w:lineRule="auto"/>
              <w:jc w:val="center"/>
              <w:rPr>
                <w:rFonts w:asciiTheme="minorEastAsia" w:eastAsiaTheme="minorEastAsia" w:hAnsiTheme="minorEastAsia" w:cs="Times New Roman Regular"/>
                <w:sz w:val="24"/>
                <w:szCs w:val="24"/>
              </w:rPr>
            </w:pPr>
            <w:r>
              <w:rPr>
                <w:rFonts w:asciiTheme="minorEastAsia" w:eastAsiaTheme="minorEastAsia" w:hAnsiTheme="minorEastAsia" w:cs="Times New Roman Regular"/>
                <w:sz w:val="24"/>
                <w:szCs w:val="24"/>
              </w:rPr>
              <w:t>3000</w:t>
            </w:r>
          </w:p>
        </w:tc>
        <w:tc>
          <w:tcPr>
            <w:tcW w:w="1304" w:type="dxa"/>
            <w:vAlign w:val="center"/>
          </w:tcPr>
          <w:p w:rsidR="000E7D14" w:rsidP="00AC0AE4">
            <w:pPr>
              <w:spacing w:line="240" w:lineRule="auto"/>
              <w:jc w:val="center"/>
              <w:rPr>
                <w:rFonts w:asciiTheme="minorEastAsia" w:eastAsiaTheme="minorEastAsia" w:hAnsiTheme="minorEastAsia" w:cs="Times New Roman Regular"/>
                <w:sz w:val="24"/>
                <w:szCs w:val="24"/>
              </w:rPr>
            </w:pPr>
            <w:r>
              <w:rPr>
                <w:rFonts w:asciiTheme="minorEastAsia" w:eastAsiaTheme="minorEastAsia" w:hAnsiTheme="minorEastAsia" w:cs="Times New Roman Regular"/>
                <w:sz w:val="24"/>
                <w:szCs w:val="24"/>
              </w:rPr>
              <w:t>2021-2025</w:t>
            </w:r>
          </w:p>
        </w:tc>
      </w:tr>
      <w:tr w:rsidTr="00AC0AE4">
        <w:tblPrEx>
          <w:tblW w:w="13043" w:type="dxa"/>
          <w:jc w:val="center"/>
          <w:tblLayout w:type="fixed"/>
          <w:tblLook w:val="04A0"/>
        </w:tblPrEx>
        <w:trPr>
          <w:trHeight w:val="510"/>
          <w:jc w:val="center"/>
        </w:trPr>
        <w:tc>
          <w:tcPr>
            <w:tcW w:w="1655" w:type="dxa"/>
            <w:vMerge/>
            <w:vAlign w:val="center"/>
          </w:tcPr>
          <w:p w:rsidR="000E7D14" w:rsidP="00AC0AE4">
            <w:pPr>
              <w:spacing w:line="240" w:lineRule="auto"/>
              <w:rPr>
                <w:rFonts w:asciiTheme="minorEastAsia" w:eastAsiaTheme="minorEastAsia" w:hAnsiTheme="minorEastAsia" w:cs="Times New Roman Regular"/>
                <w:sz w:val="24"/>
                <w:szCs w:val="24"/>
              </w:rPr>
            </w:pPr>
          </w:p>
        </w:tc>
        <w:tc>
          <w:tcPr>
            <w:tcW w:w="687" w:type="dxa"/>
            <w:vAlign w:val="center"/>
          </w:tcPr>
          <w:p w:rsidR="000E7D14" w:rsidP="00AC0AE4">
            <w:pPr>
              <w:spacing w:line="240" w:lineRule="auto"/>
              <w:jc w:val="center"/>
              <w:rPr>
                <w:rFonts w:asciiTheme="minorEastAsia" w:eastAsiaTheme="minorEastAsia" w:hAnsiTheme="minorEastAsia" w:cs="Times New Roman Regular"/>
                <w:sz w:val="24"/>
                <w:szCs w:val="24"/>
              </w:rPr>
            </w:pPr>
            <w:r>
              <w:rPr>
                <w:rFonts w:asciiTheme="minorEastAsia" w:eastAsiaTheme="minorEastAsia" w:hAnsiTheme="minorEastAsia" w:cs="Times New Roman Regular"/>
                <w:sz w:val="24"/>
                <w:szCs w:val="24"/>
              </w:rPr>
              <w:t>2</w:t>
            </w:r>
            <w:r>
              <w:rPr>
                <w:rFonts w:asciiTheme="minorEastAsia" w:eastAsiaTheme="minorEastAsia" w:hAnsiTheme="minorEastAsia" w:cs="Times New Roman Regular" w:hint="eastAsia"/>
                <w:sz w:val="24"/>
                <w:szCs w:val="24"/>
              </w:rPr>
              <w:t>1</w:t>
            </w:r>
          </w:p>
        </w:tc>
        <w:tc>
          <w:tcPr>
            <w:tcW w:w="2174" w:type="dxa"/>
            <w:vAlign w:val="center"/>
          </w:tcPr>
          <w:p w:rsidR="000E7D14" w:rsidP="00AC0AE4">
            <w:pPr>
              <w:spacing w:line="240" w:lineRule="auto"/>
              <w:rPr>
                <w:rFonts w:asciiTheme="minorEastAsia" w:eastAsiaTheme="minorEastAsia" w:hAnsiTheme="minorEastAsia" w:cs="Times New Roman Regular"/>
                <w:color w:val="0D0D0D"/>
                <w:sz w:val="24"/>
                <w:szCs w:val="24"/>
              </w:rPr>
            </w:pPr>
            <w:r>
              <w:rPr>
                <w:rFonts w:asciiTheme="minorEastAsia" w:eastAsiaTheme="minorEastAsia" w:hAnsiTheme="minorEastAsia" w:cs="Times New Roman Regular"/>
                <w:color w:val="0D0D0D"/>
                <w:sz w:val="24"/>
                <w:szCs w:val="24"/>
              </w:rPr>
              <w:t>农村人居环境质量提升工程</w:t>
            </w:r>
          </w:p>
        </w:tc>
        <w:tc>
          <w:tcPr>
            <w:tcW w:w="1406" w:type="dxa"/>
            <w:vAlign w:val="center"/>
          </w:tcPr>
          <w:p w:rsidR="000E7D14" w:rsidP="00AC0AE4">
            <w:pPr>
              <w:spacing w:line="240" w:lineRule="auto"/>
              <w:jc w:val="center"/>
              <w:rPr>
                <w:rFonts w:asciiTheme="minorEastAsia" w:eastAsiaTheme="minorEastAsia" w:hAnsiTheme="minorEastAsia" w:cs="Times New Roman Regular"/>
                <w:color w:val="0D0D0D"/>
                <w:sz w:val="24"/>
                <w:szCs w:val="24"/>
              </w:rPr>
            </w:pPr>
            <w:r>
              <w:rPr>
                <w:rFonts w:asciiTheme="minorEastAsia" w:eastAsiaTheme="minorEastAsia" w:hAnsiTheme="minorEastAsia" w:cs="Times New Roman Regular"/>
                <w:color w:val="0D0D0D"/>
                <w:sz w:val="24"/>
                <w:szCs w:val="24"/>
              </w:rPr>
              <w:t>太仓市农业农村局</w:t>
            </w:r>
          </w:p>
        </w:tc>
        <w:tc>
          <w:tcPr>
            <w:tcW w:w="4512" w:type="dxa"/>
            <w:vAlign w:val="center"/>
          </w:tcPr>
          <w:p w:rsidR="000E7D14" w:rsidP="00AC0AE4">
            <w:pPr>
              <w:spacing w:line="240" w:lineRule="auto"/>
              <w:rPr>
                <w:rFonts w:asciiTheme="minorEastAsia" w:eastAsiaTheme="minorEastAsia" w:hAnsiTheme="minorEastAsia" w:cs="Times New Roman Regular"/>
                <w:color w:val="0D0D0D"/>
                <w:sz w:val="24"/>
                <w:szCs w:val="24"/>
              </w:rPr>
            </w:pPr>
            <w:r>
              <w:rPr>
                <w:rFonts w:asciiTheme="minorEastAsia" w:eastAsiaTheme="minorEastAsia" w:hAnsiTheme="minorEastAsia" w:cs="Times New Roman Regular"/>
                <w:color w:val="0D0D0D"/>
                <w:sz w:val="24"/>
                <w:szCs w:val="24"/>
              </w:rPr>
              <w:t>用3 年时间培育2-3个农村人居环境整治工作示范镇、不少于20个农村人居环境整治工作示范村。</w:t>
            </w:r>
          </w:p>
        </w:tc>
        <w:tc>
          <w:tcPr>
            <w:tcW w:w="1305" w:type="dxa"/>
            <w:vAlign w:val="center"/>
          </w:tcPr>
          <w:p w:rsidR="000E7D14" w:rsidP="00AC0AE4">
            <w:pPr>
              <w:spacing w:line="240" w:lineRule="auto"/>
              <w:jc w:val="center"/>
              <w:rPr>
                <w:rFonts w:asciiTheme="minorEastAsia" w:eastAsiaTheme="minorEastAsia" w:hAnsiTheme="minorEastAsia" w:cs="Times New Roman Regular"/>
                <w:sz w:val="24"/>
                <w:szCs w:val="24"/>
              </w:rPr>
            </w:pPr>
            <w:r>
              <w:rPr>
                <w:rFonts w:asciiTheme="minorEastAsia" w:eastAsiaTheme="minorEastAsia" w:hAnsiTheme="minorEastAsia" w:cs="Times New Roman Regular"/>
                <w:sz w:val="24"/>
                <w:szCs w:val="24"/>
              </w:rPr>
              <w:t>3000</w:t>
            </w:r>
          </w:p>
        </w:tc>
        <w:tc>
          <w:tcPr>
            <w:tcW w:w="1304" w:type="dxa"/>
            <w:vAlign w:val="center"/>
          </w:tcPr>
          <w:p w:rsidR="000E7D14" w:rsidP="00AC0AE4">
            <w:pPr>
              <w:spacing w:line="240" w:lineRule="auto"/>
              <w:jc w:val="center"/>
              <w:rPr>
                <w:rFonts w:asciiTheme="minorEastAsia" w:eastAsiaTheme="minorEastAsia" w:hAnsiTheme="minorEastAsia" w:cs="Times New Roman Regular"/>
                <w:sz w:val="24"/>
                <w:szCs w:val="24"/>
              </w:rPr>
            </w:pPr>
            <w:r>
              <w:rPr>
                <w:rFonts w:asciiTheme="minorEastAsia" w:eastAsiaTheme="minorEastAsia" w:hAnsiTheme="minorEastAsia" w:cs="Times New Roman Regular"/>
                <w:sz w:val="24"/>
                <w:szCs w:val="24"/>
              </w:rPr>
              <w:t>2020-2022</w:t>
            </w:r>
          </w:p>
        </w:tc>
      </w:tr>
      <w:tr w:rsidTr="00AC0AE4">
        <w:tblPrEx>
          <w:tblW w:w="13043" w:type="dxa"/>
          <w:jc w:val="center"/>
          <w:tblLayout w:type="fixed"/>
          <w:tblLook w:val="04A0"/>
        </w:tblPrEx>
        <w:trPr>
          <w:trHeight w:val="510"/>
          <w:jc w:val="center"/>
        </w:trPr>
        <w:tc>
          <w:tcPr>
            <w:tcW w:w="1655" w:type="dxa"/>
            <w:vMerge/>
            <w:vAlign w:val="center"/>
          </w:tcPr>
          <w:p w:rsidR="000E7D14" w:rsidP="00AC0AE4">
            <w:pPr>
              <w:spacing w:line="240" w:lineRule="auto"/>
              <w:rPr>
                <w:rFonts w:asciiTheme="minorEastAsia" w:eastAsiaTheme="minorEastAsia" w:hAnsiTheme="minorEastAsia" w:cs="Times New Roman Regular"/>
                <w:sz w:val="24"/>
                <w:szCs w:val="24"/>
              </w:rPr>
            </w:pPr>
          </w:p>
        </w:tc>
        <w:tc>
          <w:tcPr>
            <w:tcW w:w="687" w:type="dxa"/>
            <w:vAlign w:val="center"/>
          </w:tcPr>
          <w:p w:rsidR="000E7D14" w:rsidP="00AC0AE4">
            <w:pPr>
              <w:spacing w:line="240" w:lineRule="auto"/>
              <w:jc w:val="center"/>
              <w:rPr>
                <w:rFonts w:asciiTheme="minorEastAsia" w:eastAsiaTheme="minorEastAsia" w:hAnsiTheme="minorEastAsia" w:cs="Times New Roman Regular"/>
                <w:sz w:val="24"/>
                <w:szCs w:val="24"/>
              </w:rPr>
            </w:pPr>
            <w:r>
              <w:rPr>
                <w:rFonts w:asciiTheme="minorEastAsia" w:eastAsiaTheme="minorEastAsia" w:hAnsiTheme="minorEastAsia" w:cs="Times New Roman Regular" w:hint="eastAsia"/>
                <w:sz w:val="24"/>
                <w:szCs w:val="24"/>
              </w:rPr>
              <w:t>22</w:t>
            </w:r>
          </w:p>
        </w:tc>
        <w:tc>
          <w:tcPr>
            <w:tcW w:w="2174" w:type="dxa"/>
            <w:vAlign w:val="center"/>
          </w:tcPr>
          <w:p w:rsidR="000E7D14" w:rsidP="00AC0AE4">
            <w:pPr>
              <w:spacing w:line="240" w:lineRule="auto"/>
              <w:rPr>
                <w:rFonts w:asciiTheme="minorEastAsia" w:eastAsiaTheme="minorEastAsia" w:hAnsiTheme="minorEastAsia" w:cs="Times New Roman Regular"/>
                <w:sz w:val="24"/>
                <w:szCs w:val="24"/>
              </w:rPr>
            </w:pPr>
            <w:r>
              <w:rPr>
                <w:rFonts w:asciiTheme="minorEastAsia" w:eastAsiaTheme="minorEastAsia" w:hAnsiTheme="minorEastAsia" w:cs="Times New Roman Regular" w:hint="eastAsia"/>
                <w:sz w:val="24"/>
                <w:szCs w:val="24"/>
              </w:rPr>
              <w:t>畜禽粪污资源化利用</w:t>
            </w:r>
          </w:p>
        </w:tc>
        <w:tc>
          <w:tcPr>
            <w:tcW w:w="1406" w:type="dxa"/>
            <w:vAlign w:val="center"/>
          </w:tcPr>
          <w:p w:rsidR="000E7D14" w:rsidP="00AC0AE4">
            <w:pPr>
              <w:spacing w:line="240" w:lineRule="auto"/>
              <w:jc w:val="center"/>
              <w:rPr>
                <w:rFonts w:asciiTheme="minorEastAsia" w:eastAsiaTheme="minorEastAsia" w:hAnsiTheme="minorEastAsia" w:cs="Times New Roman Regular"/>
                <w:sz w:val="24"/>
                <w:szCs w:val="24"/>
              </w:rPr>
            </w:pPr>
            <w:r>
              <w:rPr>
                <w:rFonts w:asciiTheme="minorEastAsia" w:eastAsiaTheme="minorEastAsia" w:hAnsiTheme="minorEastAsia" w:cs="Times New Roman Regular"/>
                <w:sz w:val="24"/>
                <w:szCs w:val="24"/>
              </w:rPr>
              <w:t>太仓市农业农村局</w:t>
            </w:r>
          </w:p>
        </w:tc>
        <w:tc>
          <w:tcPr>
            <w:tcW w:w="4512" w:type="dxa"/>
            <w:vAlign w:val="center"/>
          </w:tcPr>
          <w:p w:rsidR="000E7D14" w:rsidP="00AC0AE4">
            <w:pPr>
              <w:spacing w:line="240" w:lineRule="auto"/>
              <w:rPr>
                <w:rFonts w:asciiTheme="minorEastAsia" w:eastAsiaTheme="minorEastAsia" w:hAnsiTheme="minorEastAsia" w:cs="Times New Roman Regular"/>
                <w:sz w:val="24"/>
                <w:szCs w:val="24"/>
              </w:rPr>
            </w:pPr>
            <w:r>
              <w:rPr>
                <w:rFonts w:asciiTheme="minorEastAsia" w:eastAsiaTheme="minorEastAsia" w:hAnsiTheme="minorEastAsia" w:cs="Times New Roman Regular" w:hint="eastAsia"/>
                <w:sz w:val="24"/>
                <w:szCs w:val="24"/>
              </w:rPr>
              <w:t>畜禽粪污资源化综合利用。</w:t>
            </w:r>
          </w:p>
        </w:tc>
        <w:tc>
          <w:tcPr>
            <w:tcW w:w="1305" w:type="dxa"/>
            <w:vAlign w:val="center"/>
          </w:tcPr>
          <w:p w:rsidR="000E7D14" w:rsidP="00AC0AE4">
            <w:pPr>
              <w:spacing w:line="240" w:lineRule="auto"/>
              <w:jc w:val="center"/>
              <w:rPr>
                <w:rFonts w:asciiTheme="minorEastAsia" w:eastAsiaTheme="minorEastAsia" w:hAnsiTheme="minorEastAsia" w:cs="Times New Roman Regular"/>
                <w:sz w:val="24"/>
                <w:szCs w:val="24"/>
              </w:rPr>
            </w:pPr>
            <w:r>
              <w:rPr>
                <w:rFonts w:asciiTheme="minorEastAsia" w:eastAsiaTheme="minorEastAsia" w:hAnsiTheme="minorEastAsia" w:cs="Times New Roman Regular" w:hint="eastAsia"/>
                <w:sz w:val="24"/>
                <w:szCs w:val="24"/>
              </w:rPr>
              <w:t>500</w:t>
            </w:r>
          </w:p>
        </w:tc>
        <w:tc>
          <w:tcPr>
            <w:tcW w:w="1304" w:type="dxa"/>
            <w:vAlign w:val="center"/>
          </w:tcPr>
          <w:p w:rsidR="000E7D14" w:rsidP="00AC0AE4">
            <w:pPr>
              <w:spacing w:line="240" w:lineRule="auto"/>
              <w:jc w:val="center"/>
              <w:rPr>
                <w:rFonts w:asciiTheme="minorEastAsia" w:eastAsiaTheme="minorEastAsia" w:hAnsiTheme="minorEastAsia" w:cs="Times New Roman Regular"/>
                <w:sz w:val="24"/>
                <w:szCs w:val="24"/>
              </w:rPr>
            </w:pPr>
            <w:r>
              <w:rPr>
                <w:rFonts w:asciiTheme="minorEastAsia" w:eastAsiaTheme="minorEastAsia" w:hAnsiTheme="minorEastAsia" w:cs="Times New Roman Regular" w:hint="eastAsia"/>
                <w:sz w:val="24"/>
                <w:szCs w:val="24"/>
              </w:rPr>
              <w:t>2021-2025</w:t>
            </w:r>
          </w:p>
        </w:tc>
      </w:tr>
      <w:tr w:rsidTr="00AC0AE4">
        <w:tblPrEx>
          <w:tblW w:w="13043" w:type="dxa"/>
          <w:jc w:val="center"/>
          <w:tblLayout w:type="fixed"/>
          <w:tblLook w:val="04A0"/>
        </w:tblPrEx>
        <w:trPr>
          <w:trHeight w:val="1416"/>
          <w:jc w:val="center"/>
        </w:trPr>
        <w:tc>
          <w:tcPr>
            <w:tcW w:w="1655" w:type="dxa"/>
            <w:vMerge w:val="restart"/>
            <w:vAlign w:val="center"/>
          </w:tcPr>
          <w:p w:rsidR="000E7D14" w:rsidP="00AC0AE4">
            <w:pPr>
              <w:spacing w:line="240" w:lineRule="auto"/>
              <w:rPr>
                <w:rFonts w:asciiTheme="minorEastAsia" w:eastAsiaTheme="minorEastAsia" w:hAnsiTheme="minorEastAsia" w:cs="Times New Roman Regular"/>
                <w:sz w:val="24"/>
                <w:szCs w:val="24"/>
              </w:rPr>
            </w:pPr>
            <w:r>
              <w:rPr>
                <w:rFonts w:asciiTheme="minorEastAsia" w:eastAsiaTheme="minorEastAsia" w:hAnsiTheme="minorEastAsia" w:cs="Times New Roman Regular"/>
                <w:sz w:val="24"/>
                <w:szCs w:val="24"/>
              </w:rPr>
              <w:t>六、区域环境风险防控</w:t>
            </w:r>
          </w:p>
        </w:tc>
        <w:tc>
          <w:tcPr>
            <w:tcW w:w="687" w:type="dxa"/>
            <w:vAlign w:val="center"/>
          </w:tcPr>
          <w:p w:rsidR="000E7D14" w:rsidP="00AC0AE4">
            <w:pPr>
              <w:spacing w:line="240" w:lineRule="auto"/>
              <w:jc w:val="center"/>
              <w:rPr>
                <w:rFonts w:asciiTheme="minorEastAsia" w:eastAsiaTheme="minorEastAsia" w:hAnsiTheme="minorEastAsia" w:cs="Times New Roman Regular"/>
                <w:sz w:val="24"/>
                <w:szCs w:val="24"/>
              </w:rPr>
            </w:pPr>
            <w:r>
              <w:rPr>
                <w:rFonts w:asciiTheme="minorEastAsia" w:eastAsiaTheme="minorEastAsia" w:hAnsiTheme="minorEastAsia" w:cs="Times New Roman Regular"/>
                <w:sz w:val="24"/>
                <w:szCs w:val="24"/>
              </w:rPr>
              <w:t>23</w:t>
            </w:r>
          </w:p>
        </w:tc>
        <w:tc>
          <w:tcPr>
            <w:tcW w:w="2174" w:type="dxa"/>
            <w:vAlign w:val="center"/>
          </w:tcPr>
          <w:p w:rsidR="000E7D14" w:rsidP="00AC0AE4">
            <w:pPr>
              <w:spacing w:line="240" w:lineRule="auto"/>
              <w:rPr>
                <w:rFonts w:asciiTheme="minorEastAsia" w:eastAsiaTheme="minorEastAsia" w:hAnsiTheme="minorEastAsia" w:cs="Times New Roman Regular"/>
                <w:sz w:val="24"/>
                <w:szCs w:val="24"/>
              </w:rPr>
            </w:pPr>
            <w:r>
              <w:rPr>
                <w:rFonts w:asciiTheme="minorEastAsia" w:eastAsiaTheme="minorEastAsia" w:hAnsiTheme="minorEastAsia" w:cs="Times New Roman Regular"/>
                <w:sz w:val="24"/>
                <w:szCs w:val="24"/>
              </w:rPr>
              <w:t>太仓市建筑装潢垃圾资源化处理厂</w:t>
            </w:r>
          </w:p>
        </w:tc>
        <w:tc>
          <w:tcPr>
            <w:tcW w:w="1406" w:type="dxa"/>
            <w:vAlign w:val="center"/>
          </w:tcPr>
          <w:p w:rsidR="000E7D14" w:rsidP="00AC0AE4">
            <w:pPr>
              <w:spacing w:line="240" w:lineRule="auto"/>
              <w:jc w:val="center"/>
              <w:rPr>
                <w:rFonts w:asciiTheme="minorEastAsia" w:eastAsiaTheme="minorEastAsia" w:hAnsiTheme="minorEastAsia" w:cs="Times New Roman Regular"/>
                <w:kern w:val="0"/>
                <w:sz w:val="24"/>
                <w:szCs w:val="24"/>
              </w:rPr>
            </w:pPr>
            <w:r>
              <w:rPr>
                <w:rFonts w:asciiTheme="minorEastAsia" w:eastAsiaTheme="minorEastAsia" w:hAnsiTheme="minorEastAsia" w:cs="Times New Roman Regular"/>
                <w:sz w:val="24"/>
                <w:szCs w:val="24"/>
              </w:rPr>
              <w:t>太仓市城管局</w:t>
            </w:r>
          </w:p>
        </w:tc>
        <w:tc>
          <w:tcPr>
            <w:tcW w:w="4512" w:type="dxa"/>
            <w:vAlign w:val="center"/>
          </w:tcPr>
          <w:p w:rsidR="000E7D14" w:rsidP="00AC0AE4">
            <w:pPr>
              <w:spacing w:line="240" w:lineRule="auto"/>
              <w:rPr>
                <w:rFonts w:asciiTheme="minorEastAsia" w:eastAsiaTheme="minorEastAsia" w:hAnsiTheme="minorEastAsia" w:cs="Times New Roman Regular"/>
                <w:sz w:val="24"/>
                <w:szCs w:val="24"/>
              </w:rPr>
            </w:pPr>
            <w:r>
              <w:rPr>
                <w:rFonts w:asciiTheme="minorEastAsia" w:eastAsiaTheme="minorEastAsia" w:hAnsiTheme="minorEastAsia" w:cs="Times New Roman Regular"/>
                <w:sz w:val="24"/>
                <w:szCs w:val="24"/>
              </w:rPr>
              <w:t>总处理规模为2050吨/日，其中装修垃圾1500吨/日，拆除垃圾（含工程垃圾）500吨/日，大件垃圾（含绿化垃圾）50吨/日，分拣中心一座。</w:t>
            </w:r>
          </w:p>
        </w:tc>
        <w:tc>
          <w:tcPr>
            <w:tcW w:w="1305" w:type="dxa"/>
            <w:vAlign w:val="center"/>
          </w:tcPr>
          <w:p w:rsidR="000E7D14" w:rsidP="00AC0AE4">
            <w:pPr>
              <w:spacing w:line="240" w:lineRule="auto"/>
              <w:jc w:val="center"/>
              <w:rPr>
                <w:rFonts w:asciiTheme="minorEastAsia" w:eastAsiaTheme="minorEastAsia" w:hAnsiTheme="minorEastAsia" w:cs="Times New Roman Regular"/>
                <w:kern w:val="0"/>
                <w:sz w:val="24"/>
                <w:szCs w:val="24"/>
              </w:rPr>
            </w:pPr>
            <w:r>
              <w:rPr>
                <w:rFonts w:asciiTheme="minorEastAsia" w:eastAsiaTheme="minorEastAsia" w:hAnsiTheme="minorEastAsia" w:cs="Times New Roman Regular"/>
                <w:sz w:val="24"/>
                <w:szCs w:val="24"/>
              </w:rPr>
              <w:t>29000</w:t>
            </w:r>
          </w:p>
        </w:tc>
        <w:tc>
          <w:tcPr>
            <w:tcW w:w="1304" w:type="dxa"/>
            <w:vAlign w:val="center"/>
          </w:tcPr>
          <w:p w:rsidR="000E7D14" w:rsidP="00AC0AE4">
            <w:pPr>
              <w:spacing w:line="240" w:lineRule="auto"/>
              <w:jc w:val="center"/>
              <w:rPr>
                <w:rFonts w:asciiTheme="minorEastAsia" w:eastAsiaTheme="minorEastAsia" w:hAnsiTheme="minorEastAsia" w:cs="Times New Roman Regular"/>
                <w:sz w:val="24"/>
                <w:szCs w:val="24"/>
              </w:rPr>
            </w:pPr>
            <w:r>
              <w:rPr>
                <w:rFonts w:asciiTheme="minorEastAsia" w:eastAsiaTheme="minorEastAsia" w:hAnsiTheme="minorEastAsia" w:cs="Times New Roman Regular"/>
                <w:sz w:val="24"/>
                <w:szCs w:val="24"/>
              </w:rPr>
              <w:t>2020-2022</w:t>
            </w:r>
          </w:p>
        </w:tc>
      </w:tr>
      <w:tr w:rsidTr="00AC0AE4">
        <w:tblPrEx>
          <w:tblW w:w="13043" w:type="dxa"/>
          <w:jc w:val="center"/>
          <w:tblLayout w:type="fixed"/>
          <w:tblLook w:val="04A0"/>
        </w:tblPrEx>
        <w:trPr>
          <w:trHeight w:val="510"/>
          <w:jc w:val="center"/>
        </w:trPr>
        <w:tc>
          <w:tcPr>
            <w:tcW w:w="1655" w:type="dxa"/>
            <w:vMerge/>
            <w:vAlign w:val="center"/>
          </w:tcPr>
          <w:p w:rsidR="000E7D14" w:rsidP="00AC0AE4">
            <w:pPr>
              <w:spacing w:line="240" w:lineRule="auto"/>
              <w:rPr>
                <w:rFonts w:asciiTheme="minorEastAsia" w:eastAsiaTheme="minorEastAsia" w:hAnsiTheme="minorEastAsia" w:cs="Times New Roman Regular"/>
                <w:sz w:val="24"/>
                <w:szCs w:val="24"/>
              </w:rPr>
            </w:pPr>
          </w:p>
        </w:tc>
        <w:tc>
          <w:tcPr>
            <w:tcW w:w="687" w:type="dxa"/>
            <w:vAlign w:val="center"/>
          </w:tcPr>
          <w:p w:rsidR="000E7D14" w:rsidP="00AC0AE4">
            <w:pPr>
              <w:spacing w:line="240" w:lineRule="auto"/>
              <w:jc w:val="center"/>
              <w:rPr>
                <w:rFonts w:asciiTheme="minorEastAsia" w:eastAsiaTheme="minorEastAsia" w:hAnsiTheme="minorEastAsia" w:cs="Times New Roman Regular"/>
                <w:sz w:val="24"/>
                <w:szCs w:val="24"/>
              </w:rPr>
            </w:pPr>
            <w:r>
              <w:rPr>
                <w:rFonts w:asciiTheme="minorEastAsia" w:eastAsiaTheme="minorEastAsia" w:hAnsiTheme="minorEastAsia" w:cs="Times New Roman Regular" w:hint="eastAsia"/>
                <w:sz w:val="24"/>
                <w:szCs w:val="24"/>
              </w:rPr>
              <w:t>2</w:t>
            </w:r>
            <w:r>
              <w:rPr>
                <w:rFonts w:asciiTheme="minorEastAsia" w:eastAsiaTheme="minorEastAsia" w:hAnsiTheme="minorEastAsia" w:cs="Times New Roman Regular"/>
                <w:sz w:val="24"/>
                <w:szCs w:val="24"/>
              </w:rPr>
              <w:t>4</w:t>
            </w:r>
          </w:p>
        </w:tc>
        <w:tc>
          <w:tcPr>
            <w:tcW w:w="2174" w:type="dxa"/>
            <w:vAlign w:val="center"/>
          </w:tcPr>
          <w:p w:rsidR="000E7D14" w:rsidP="00AC0AE4">
            <w:pPr>
              <w:spacing w:line="240" w:lineRule="auto"/>
              <w:rPr>
                <w:rFonts w:asciiTheme="minorEastAsia" w:eastAsiaTheme="minorEastAsia" w:hAnsiTheme="minorEastAsia" w:cs="Times New Roman Regular"/>
                <w:sz w:val="24"/>
                <w:szCs w:val="24"/>
              </w:rPr>
            </w:pPr>
            <w:r>
              <w:rPr>
                <w:rFonts w:asciiTheme="minorEastAsia" w:eastAsiaTheme="minorEastAsia" w:hAnsiTheme="minorEastAsia" w:cs="Times New Roman Regular"/>
                <w:color w:val="0D0D0D"/>
                <w:sz w:val="24"/>
                <w:szCs w:val="24"/>
              </w:rPr>
              <w:t>港区化工园区危化品专业消防站</w:t>
            </w:r>
          </w:p>
        </w:tc>
        <w:tc>
          <w:tcPr>
            <w:tcW w:w="1406" w:type="dxa"/>
            <w:vAlign w:val="center"/>
          </w:tcPr>
          <w:p w:rsidR="000E7D14" w:rsidP="00AC0AE4">
            <w:pPr>
              <w:spacing w:line="240" w:lineRule="auto"/>
              <w:jc w:val="center"/>
              <w:rPr>
                <w:rFonts w:asciiTheme="minorEastAsia" w:eastAsiaTheme="minorEastAsia" w:hAnsiTheme="minorEastAsia" w:cs="Times New Roman Regular"/>
                <w:kern w:val="0"/>
                <w:sz w:val="24"/>
                <w:szCs w:val="24"/>
              </w:rPr>
            </w:pPr>
            <w:r>
              <w:rPr>
                <w:rFonts w:asciiTheme="minorEastAsia" w:eastAsiaTheme="minorEastAsia" w:hAnsiTheme="minorEastAsia" w:cs="Times New Roman Regular"/>
                <w:color w:val="0D0D0D"/>
                <w:spacing w:val="-16"/>
                <w:sz w:val="24"/>
                <w:szCs w:val="24"/>
              </w:rPr>
              <w:t>太仓港经济技术开发区管委会</w:t>
            </w:r>
          </w:p>
        </w:tc>
        <w:tc>
          <w:tcPr>
            <w:tcW w:w="4512" w:type="dxa"/>
            <w:vAlign w:val="center"/>
          </w:tcPr>
          <w:p w:rsidR="000E7D14" w:rsidP="00AC0AE4">
            <w:pPr>
              <w:spacing w:line="240" w:lineRule="auto"/>
              <w:rPr>
                <w:rFonts w:asciiTheme="minorEastAsia" w:eastAsiaTheme="minorEastAsia" w:hAnsiTheme="minorEastAsia" w:cs="Times New Roman Regular"/>
                <w:sz w:val="24"/>
                <w:szCs w:val="24"/>
              </w:rPr>
            </w:pPr>
            <w:r>
              <w:rPr>
                <w:rFonts w:asciiTheme="minorEastAsia" w:eastAsiaTheme="minorEastAsia" w:hAnsiTheme="minorEastAsia" w:cs="Times New Roman Regular"/>
                <w:color w:val="0D0D0D"/>
                <w:sz w:val="24"/>
                <w:szCs w:val="24"/>
              </w:rPr>
              <w:t>建成占地约21亩，总建筑面积约13000平方米危化品专业消防站一座。</w:t>
            </w:r>
          </w:p>
        </w:tc>
        <w:tc>
          <w:tcPr>
            <w:tcW w:w="1305" w:type="dxa"/>
            <w:vAlign w:val="center"/>
          </w:tcPr>
          <w:p w:rsidR="000E7D14" w:rsidP="00AC0AE4">
            <w:pPr>
              <w:spacing w:line="240" w:lineRule="auto"/>
              <w:jc w:val="center"/>
              <w:rPr>
                <w:rFonts w:asciiTheme="minorEastAsia" w:eastAsiaTheme="minorEastAsia" w:hAnsiTheme="minorEastAsia" w:cs="Times New Roman Regular"/>
                <w:kern w:val="0"/>
                <w:sz w:val="24"/>
                <w:szCs w:val="24"/>
              </w:rPr>
            </w:pPr>
            <w:r>
              <w:rPr>
                <w:rFonts w:asciiTheme="minorEastAsia" w:eastAsiaTheme="minorEastAsia" w:hAnsiTheme="minorEastAsia" w:cs="Times New Roman Regular"/>
                <w:kern w:val="0"/>
                <w:sz w:val="24"/>
                <w:szCs w:val="24"/>
              </w:rPr>
              <w:t>20000</w:t>
            </w:r>
          </w:p>
        </w:tc>
        <w:tc>
          <w:tcPr>
            <w:tcW w:w="1304" w:type="dxa"/>
            <w:vAlign w:val="center"/>
          </w:tcPr>
          <w:p w:rsidR="000E7D14" w:rsidP="00AC0AE4">
            <w:pPr>
              <w:spacing w:line="240" w:lineRule="auto"/>
              <w:jc w:val="center"/>
              <w:rPr>
                <w:rFonts w:asciiTheme="minorEastAsia" w:eastAsiaTheme="minorEastAsia" w:hAnsiTheme="minorEastAsia" w:cs="Times New Roman Regular"/>
                <w:sz w:val="24"/>
                <w:szCs w:val="24"/>
              </w:rPr>
            </w:pPr>
            <w:r>
              <w:rPr>
                <w:rFonts w:asciiTheme="minorEastAsia" w:eastAsiaTheme="minorEastAsia" w:hAnsiTheme="minorEastAsia" w:cs="Times New Roman Regular"/>
                <w:sz w:val="24"/>
                <w:szCs w:val="24"/>
              </w:rPr>
              <w:t>2021-2022</w:t>
            </w:r>
          </w:p>
        </w:tc>
      </w:tr>
      <w:tr w:rsidTr="00AC0AE4">
        <w:tblPrEx>
          <w:tblW w:w="13043" w:type="dxa"/>
          <w:jc w:val="center"/>
          <w:tblLayout w:type="fixed"/>
          <w:tblLook w:val="04A0"/>
        </w:tblPrEx>
        <w:trPr>
          <w:trHeight w:val="510"/>
          <w:jc w:val="center"/>
        </w:trPr>
        <w:tc>
          <w:tcPr>
            <w:tcW w:w="1655" w:type="dxa"/>
            <w:vMerge/>
            <w:vAlign w:val="center"/>
          </w:tcPr>
          <w:p w:rsidR="000E7D14" w:rsidP="00AC0AE4">
            <w:pPr>
              <w:spacing w:line="240" w:lineRule="auto"/>
              <w:rPr>
                <w:rFonts w:asciiTheme="minorEastAsia" w:eastAsiaTheme="minorEastAsia" w:hAnsiTheme="minorEastAsia" w:cs="Times New Roman Regular"/>
                <w:sz w:val="24"/>
                <w:szCs w:val="24"/>
              </w:rPr>
            </w:pPr>
          </w:p>
        </w:tc>
        <w:tc>
          <w:tcPr>
            <w:tcW w:w="687" w:type="dxa"/>
            <w:vAlign w:val="center"/>
          </w:tcPr>
          <w:p w:rsidR="000E7D14" w:rsidP="00AC0AE4">
            <w:pPr>
              <w:spacing w:line="240" w:lineRule="auto"/>
              <w:jc w:val="center"/>
              <w:rPr>
                <w:rFonts w:asciiTheme="minorEastAsia" w:eastAsiaTheme="minorEastAsia" w:hAnsiTheme="minorEastAsia" w:cs="Times New Roman Regular"/>
                <w:sz w:val="24"/>
                <w:szCs w:val="24"/>
              </w:rPr>
            </w:pPr>
            <w:r>
              <w:rPr>
                <w:rFonts w:asciiTheme="minorEastAsia" w:eastAsiaTheme="minorEastAsia" w:hAnsiTheme="minorEastAsia" w:cs="Times New Roman Regular" w:hint="eastAsia"/>
                <w:sz w:val="24"/>
                <w:szCs w:val="24"/>
              </w:rPr>
              <w:t>2</w:t>
            </w:r>
            <w:r>
              <w:rPr>
                <w:rFonts w:asciiTheme="minorEastAsia" w:eastAsiaTheme="minorEastAsia" w:hAnsiTheme="minorEastAsia" w:cs="Times New Roman Regular"/>
                <w:sz w:val="24"/>
                <w:szCs w:val="24"/>
              </w:rPr>
              <w:t>5</w:t>
            </w:r>
          </w:p>
        </w:tc>
        <w:tc>
          <w:tcPr>
            <w:tcW w:w="2174" w:type="dxa"/>
            <w:vAlign w:val="center"/>
          </w:tcPr>
          <w:p w:rsidR="000E7D14" w:rsidP="00AC0AE4">
            <w:pPr>
              <w:spacing w:line="240" w:lineRule="auto"/>
              <w:rPr>
                <w:rFonts w:asciiTheme="minorEastAsia" w:eastAsiaTheme="minorEastAsia" w:hAnsiTheme="minorEastAsia" w:cs="Times New Roman Regular"/>
                <w:sz w:val="24"/>
                <w:szCs w:val="24"/>
              </w:rPr>
            </w:pPr>
            <w:r>
              <w:rPr>
                <w:rFonts w:asciiTheme="minorEastAsia" w:eastAsiaTheme="minorEastAsia" w:hAnsiTheme="minorEastAsia" w:cs="Times New Roman Regular"/>
                <w:color w:val="0D0D0D"/>
                <w:sz w:val="24"/>
                <w:szCs w:val="24"/>
              </w:rPr>
              <w:t>港区化工园区危化品专用停车场建设工程</w:t>
            </w:r>
          </w:p>
        </w:tc>
        <w:tc>
          <w:tcPr>
            <w:tcW w:w="1406" w:type="dxa"/>
            <w:vAlign w:val="center"/>
          </w:tcPr>
          <w:p w:rsidR="000E7D14" w:rsidP="00AC0AE4">
            <w:pPr>
              <w:spacing w:line="240" w:lineRule="auto"/>
              <w:jc w:val="center"/>
              <w:rPr>
                <w:rFonts w:asciiTheme="minorEastAsia" w:eastAsiaTheme="minorEastAsia" w:hAnsiTheme="minorEastAsia" w:cs="Times New Roman Regular"/>
                <w:kern w:val="0"/>
                <w:sz w:val="24"/>
                <w:szCs w:val="24"/>
              </w:rPr>
            </w:pPr>
            <w:r>
              <w:rPr>
                <w:rFonts w:asciiTheme="minorEastAsia" w:eastAsiaTheme="minorEastAsia" w:hAnsiTheme="minorEastAsia" w:cs="Times New Roman Regular"/>
                <w:color w:val="0D0D0D"/>
                <w:spacing w:val="-16"/>
                <w:sz w:val="24"/>
                <w:szCs w:val="24"/>
              </w:rPr>
              <w:t>太仓港经济技术开发区管委会</w:t>
            </w:r>
          </w:p>
        </w:tc>
        <w:tc>
          <w:tcPr>
            <w:tcW w:w="4512" w:type="dxa"/>
            <w:vAlign w:val="center"/>
          </w:tcPr>
          <w:p w:rsidR="000E7D14" w:rsidP="00AC0AE4">
            <w:pPr>
              <w:spacing w:line="240" w:lineRule="auto"/>
              <w:rPr>
                <w:rFonts w:asciiTheme="minorEastAsia" w:eastAsiaTheme="minorEastAsia" w:hAnsiTheme="minorEastAsia" w:cs="Times New Roman Regular"/>
                <w:sz w:val="24"/>
                <w:szCs w:val="24"/>
              </w:rPr>
            </w:pPr>
            <w:r>
              <w:rPr>
                <w:rFonts w:asciiTheme="minorEastAsia" w:eastAsiaTheme="minorEastAsia" w:hAnsiTheme="minorEastAsia" w:cs="Times New Roman Regular"/>
                <w:color w:val="0D0D0D"/>
                <w:sz w:val="24"/>
                <w:szCs w:val="24"/>
              </w:rPr>
              <w:t>项目占地72亩，共设置危化品车辆停车位255个及配套环境处理设施。</w:t>
            </w:r>
          </w:p>
        </w:tc>
        <w:tc>
          <w:tcPr>
            <w:tcW w:w="1305" w:type="dxa"/>
            <w:vAlign w:val="center"/>
          </w:tcPr>
          <w:p w:rsidR="000E7D14" w:rsidP="00AC0AE4">
            <w:pPr>
              <w:spacing w:line="240" w:lineRule="auto"/>
              <w:jc w:val="center"/>
              <w:rPr>
                <w:rFonts w:asciiTheme="minorEastAsia" w:eastAsiaTheme="minorEastAsia" w:hAnsiTheme="minorEastAsia" w:cs="Times New Roman Regular"/>
                <w:kern w:val="0"/>
                <w:sz w:val="24"/>
                <w:szCs w:val="24"/>
              </w:rPr>
            </w:pPr>
            <w:r>
              <w:rPr>
                <w:rFonts w:asciiTheme="minorEastAsia" w:eastAsiaTheme="minorEastAsia" w:hAnsiTheme="minorEastAsia" w:cs="Times New Roman Regular"/>
                <w:color w:val="0D0D0D"/>
                <w:sz w:val="24"/>
                <w:szCs w:val="24"/>
              </w:rPr>
              <w:t>8500</w:t>
            </w:r>
          </w:p>
        </w:tc>
        <w:tc>
          <w:tcPr>
            <w:tcW w:w="1304" w:type="dxa"/>
            <w:vAlign w:val="center"/>
          </w:tcPr>
          <w:p w:rsidR="000E7D14" w:rsidP="00AC0AE4">
            <w:pPr>
              <w:spacing w:line="240" w:lineRule="auto"/>
              <w:jc w:val="center"/>
              <w:rPr>
                <w:rFonts w:asciiTheme="minorEastAsia" w:eastAsiaTheme="minorEastAsia" w:hAnsiTheme="minorEastAsia" w:cs="Times New Roman Regular"/>
                <w:sz w:val="24"/>
                <w:szCs w:val="24"/>
              </w:rPr>
            </w:pPr>
            <w:r>
              <w:rPr>
                <w:rFonts w:asciiTheme="minorEastAsia" w:eastAsiaTheme="minorEastAsia" w:hAnsiTheme="minorEastAsia" w:cs="Times New Roman Regular"/>
                <w:sz w:val="24"/>
                <w:szCs w:val="24"/>
              </w:rPr>
              <w:t>2021</w:t>
            </w:r>
          </w:p>
        </w:tc>
      </w:tr>
      <w:tr w:rsidTr="00AC0AE4">
        <w:tblPrEx>
          <w:tblW w:w="13043" w:type="dxa"/>
          <w:jc w:val="center"/>
          <w:tblLayout w:type="fixed"/>
          <w:tblLook w:val="04A0"/>
        </w:tblPrEx>
        <w:trPr>
          <w:trHeight w:val="1220"/>
          <w:jc w:val="center"/>
        </w:trPr>
        <w:tc>
          <w:tcPr>
            <w:tcW w:w="1655" w:type="dxa"/>
            <w:vMerge/>
            <w:vAlign w:val="center"/>
          </w:tcPr>
          <w:p w:rsidR="000E7D14" w:rsidP="00AC0AE4">
            <w:pPr>
              <w:spacing w:line="240" w:lineRule="auto"/>
              <w:rPr>
                <w:rFonts w:asciiTheme="minorEastAsia" w:eastAsiaTheme="minorEastAsia" w:hAnsiTheme="minorEastAsia" w:cs="Times New Roman Regular"/>
                <w:sz w:val="24"/>
                <w:szCs w:val="24"/>
              </w:rPr>
            </w:pPr>
          </w:p>
        </w:tc>
        <w:tc>
          <w:tcPr>
            <w:tcW w:w="687" w:type="dxa"/>
            <w:vAlign w:val="center"/>
          </w:tcPr>
          <w:p w:rsidR="000E7D14" w:rsidP="00AC0AE4">
            <w:pPr>
              <w:spacing w:line="240" w:lineRule="auto"/>
              <w:jc w:val="center"/>
              <w:rPr>
                <w:rFonts w:asciiTheme="minorEastAsia" w:eastAsiaTheme="minorEastAsia" w:hAnsiTheme="minorEastAsia" w:cs="Times New Roman Regular"/>
                <w:sz w:val="24"/>
                <w:szCs w:val="24"/>
              </w:rPr>
            </w:pPr>
            <w:r>
              <w:rPr>
                <w:rFonts w:asciiTheme="minorEastAsia" w:eastAsiaTheme="minorEastAsia" w:hAnsiTheme="minorEastAsia" w:cs="Times New Roman Regular" w:hint="eastAsia"/>
                <w:sz w:val="24"/>
                <w:szCs w:val="24"/>
              </w:rPr>
              <w:t>2</w:t>
            </w:r>
            <w:r>
              <w:rPr>
                <w:rFonts w:asciiTheme="minorEastAsia" w:eastAsiaTheme="minorEastAsia" w:hAnsiTheme="minorEastAsia" w:cs="Times New Roman Regular"/>
                <w:sz w:val="24"/>
                <w:szCs w:val="24"/>
              </w:rPr>
              <w:t>6</w:t>
            </w:r>
          </w:p>
        </w:tc>
        <w:tc>
          <w:tcPr>
            <w:tcW w:w="2174" w:type="dxa"/>
            <w:vAlign w:val="center"/>
          </w:tcPr>
          <w:p w:rsidR="000E7D14" w:rsidP="00AC0AE4">
            <w:pPr>
              <w:spacing w:line="240" w:lineRule="auto"/>
              <w:rPr>
                <w:rFonts w:asciiTheme="minorEastAsia" w:eastAsiaTheme="minorEastAsia" w:hAnsiTheme="minorEastAsia" w:cs="Times New Roman Regular"/>
                <w:sz w:val="24"/>
                <w:szCs w:val="24"/>
              </w:rPr>
            </w:pPr>
            <w:r>
              <w:rPr>
                <w:rFonts w:asciiTheme="minorEastAsia" w:eastAsiaTheme="minorEastAsia" w:hAnsiTheme="minorEastAsia" w:cs="Times New Roman Regular"/>
                <w:kern w:val="0"/>
                <w:sz w:val="24"/>
                <w:szCs w:val="24"/>
              </w:rPr>
              <w:t>三水厂水源地水站及其预警站设备更新、升级</w:t>
            </w:r>
          </w:p>
        </w:tc>
        <w:tc>
          <w:tcPr>
            <w:tcW w:w="1406" w:type="dxa"/>
            <w:vAlign w:val="center"/>
          </w:tcPr>
          <w:p w:rsidR="000E7D14" w:rsidP="00AC0AE4">
            <w:pPr>
              <w:spacing w:line="240" w:lineRule="auto"/>
              <w:jc w:val="center"/>
              <w:rPr>
                <w:rFonts w:asciiTheme="minorEastAsia" w:eastAsiaTheme="minorEastAsia" w:hAnsiTheme="minorEastAsia" w:cs="Times New Roman Regular"/>
                <w:kern w:val="0"/>
                <w:sz w:val="24"/>
                <w:szCs w:val="24"/>
              </w:rPr>
            </w:pPr>
            <w:r>
              <w:rPr>
                <w:rFonts w:asciiTheme="minorEastAsia" w:eastAsiaTheme="minorEastAsia" w:hAnsiTheme="minorEastAsia" w:cs="Times New Roman Regular"/>
                <w:kern w:val="0"/>
                <w:sz w:val="24"/>
                <w:szCs w:val="24"/>
              </w:rPr>
              <w:t>太仓生态环境局</w:t>
            </w:r>
          </w:p>
        </w:tc>
        <w:tc>
          <w:tcPr>
            <w:tcW w:w="4512" w:type="dxa"/>
            <w:vAlign w:val="center"/>
          </w:tcPr>
          <w:p w:rsidR="000E7D14" w:rsidP="00AC0AE4">
            <w:pPr>
              <w:spacing w:line="240" w:lineRule="auto"/>
              <w:rPr>
                <w:rFonts w:asciiTheme="minorEastAsia" w:eastAsiaTheme="minorEastAsia" w:hAnsiTheme="minorEastAsia" w:cs="Times New Roman Regular"/>
                <w:sz w:val="24"/>
                <w:szCs w:val="24"/>
              </w:rPr>
            </w:pPr>
            <w:r>
              <w:rPr>
                <w:rFonts w:asciiTheme="minorEastAsia" w:eastAsiaTheme="minorEastAsia" w:hAnsiTheme="minorEastAsia" w:cs="Times New Roman Regular"/>
                <w:kern w:val="0"/>
                <w:sz w:val="24"/>
                <w:szCs w:val="24"/>
              </w:rPr>
              <w:t>高标准建设三水厂水站设施设备，在水源地预警站增加挥发酚和挥发性有机物监测设备</w:t>
            </w:r>
            <w:r>
              <w:rPr>
                <w:rFonts w:asciiTheme="minorEastAsia" w:eastAsiaTheme="minorEastAsia" w:hAnsiTheme="minorEastAsia" w:cs="Times New Roman Regular" w:hint="eastAsia"/>
                <w:kern w:val="0"/>
                <w:sz w:val="24"/>
                <w:szCs w:val="24"/>
              </w:rPr>
              <w:t>。</w:t>
            </w:r>
          </w:p>
        </w:tc>
        <w:tc>
          <w:tcPr>
            <w:tcW w:w="1305" w:type="dxa"/>
            <w:vAlign w:val="center"/>
          </w:tcPr>
          <w:p w:rsidR="000E7D14" w:rsidP="00AC0AE4">
            <w:pPr>
              <w:spacing w:line="240" w:lineRule="auto"/>
              <w:jc w:val="center"/>
              <w:rPr>
                <w:rFonts w:asciiTheme="minorEastAsia" w:eastAsiaTheme="minorEastAsia" w:hAnsiTheme="minorEastAsia" w:cs="Times New Roman Regular"/>
                <w:kern w:val="0"/>
                <w:sz w:val="24"/>
                <w:szCs w:val="24"/>
              </w:rPr>
            </w:pPr>
            <w:r>
              <w:rPr>
                <w:rFonts w:asciiTheme="minorEastAsia" w:eastAsiaTheme="minorEastAsia" w:hAnsiTheme="minorEastAsia" w:cs="Times New Roman Regular"/>
                <w:kern w:val="0"/>
                <w:sz w:val="24"/>
                <w:szCs w:val="24"/>
              </w:rPr>
              <w:t>450</w:t>
            </w:r>
          </w:p>
        </w:tc>
        <w:tc>
          <w:tcPr>
            <w:tcW w:w="1304" w:type="dxa"/>
            <w:vAlign w:val="center"/>
          </w:tcPr>
          <w:p w:rsidR="000E7D14" w:rsidP="00AC0AE4">
            <w:pPr>
              <w:spacing w:line="240" w:lineRule="auto"/>
              <w:jc w:val="center"/>
              <w:rPr>
                <w:rFonts w:asciiTheme="minorEastAsia" w:eastAsiaTheme="minorEastAsia" w:hAnsiTheme="minorEastAsia" w:cs="Times New Roman Regular"/>
                <w:sz w:val="24"/>
                <w:szCs w:val="24"/>
              </w:rPr>
            </w:pPr>
            <w:r>
              <w:rPr>
                <w:rFonts w:asciiTheme="minorEastAsia" w:eastAsiaTheme="minorEastAsia" w:hAnsiTheme="minorEastAsia" w:cs="Times New Roman Regular"/>
                <w:sz w:val="24"/>
                <w:szCs w:val="24"/>
              </w:rPr>
              <w:t>2021</w:t>
            </w:r>
          </w:p>
        </w:tc>
      </w:tr>
      <w:tr w:rsidTr="00AC0AE4">
        <w:tblPrEx>
          <w:tblW w:w="13043" w:type="dxa"/>
          <w:jc w:val="center"/>
          <w:tblLayout w:type="fixed"/>
          <w:tblLook w:val="04A0"/>
        </w:tblPrEx>
        <w:trPr>
          <w:trHeight w:val="1834"/>
          <w:jc w:val="center"/>
        </w:trPr>
        <w:tc>
          <w:tcPr>
            <w:tcW w:w="1655" w:type="dxa"/>
            <w:vMerge/>
            <w:vAlign w:val="center"/>
          </w:tcPr>
          <w:p w:rsidR="000E7D14" w:rsidP="00AC0AE4">
            <w:pPr>
              <w:spacing w:line="240" w:lineRule="auto"/>
              <w:rPr>
                <w:rFonts w:asciiTheme="minorEastAsia" w:eastAsiaTheme="minorEastAsia" w:hAnsiTheme="minorEastAsia" w:cs="Times New Roman Regular"/>
                <w:sz w:val="24"/>
                <w:szCs w:val="24"/>
              </w:rPr>
            </w:pPr>
          </w:p>
        </w:tc>
        <w:tc>
          <w:tcPr>
            <w:tcW w:w="687" w:type="dxa"/>
            <w:vAlign w:val="center"/>
          </w:tcPr>
          <w:p w:rsidR="000E7D14" w:rsidP="00AC0AE4">
            <w:pPr>
              <w:spacing w:line="240" w:lineRule="auto"/>
              <w:jc w:val="center"/>
              <w:rPr>
                <w:rFonts w:asciiTheme="minorEastAsia" w:eastAsiaTheme="minorEastAsia" w:hAnsiTheme="minorEastAsia" w:cs="Times New Roman Regular"/>
                <w:sz w:val="24"/>
                <w:szCs w:val="24"/>
              </w:rPr>
            </w:pPr>
            <w:r>
              <w:rPr>
                <w:rFonts w:asciiTheme="minorEastAsia" w:eastAsiaTheme="minorEastAsia" w:hAnsiTheme="minorEastAsia" w:cs="Times New Roman Regular" w:hint="eastAsia"/>
                <w:sz w:val="24"/>
                <w:szCs w:val="24"/>
              </w:rPr>
              <w:t>2</w:t>
            </w:r>
            <w:r>
              <w:rPr>
                <w:rFonts w:asciiTheme="minorEastAsia" w:eastAsiaTheme="minorEastAsia" w:hAnsiTheme="minorEastAsia" w:cs="Times New Roman Regular"/>
                <w:sz w:val="24"/>
                <w:szCs w:val="24"/>
              </w:rPr>
              <w:t>7</w:t>
            </w:r>
          </w:p>
        </w:tc>
        <w:tc>
          <w:tcPr>
            <w:tcW w:w="2174" w:type="dxa"/>
            <w:vAlign w:val="center"/>
          </w:tcPr>
          <w:p w:rsidR="000E7D14" w:rsidP="00AC0AE4">
            <w:pPr>
              <w:spacing w:line="240" w:lineRule="auto"/>
              <w:rPr>
                <w:rFonts w:asciiTheme="minorEastAsia" w:eastAsiaTheme="minorEastAsia" w:hAnsiTheme="minorEastAsia" w:cs="Times New Roman Regular"/>
                <w:kern w:val="0"/>
                <w:sz w:val="24"/>
                <w:szCs w:val="24"/>
              </w:rPr>
            </w:pPr>
            <w:r>
              <w:rPr>
                <w:rFonts w:asciiTheme="minorEastAsia" w:eastAsiaTheme="minorEastAsia" w:hAnsiTheme="minorEastAsia" w:cs="Times New Roman Regular"/>
                <w:sz w:val="24"/>
                <w:szCs w:val="24"/>
              </w:rPr>
              <w:t>太仓再生资源综合利用</w:t>
            </w:r>
          </w:p>
        </w:tc>
        <w:tc>
          <w:tcPr>
            <w:tcW w:w="1406" w:type="dxa"/>
            <w:vAlign w:val="center"/>
          </w:tcPr>
          <w:p w:rsidR="000E7D14" w:rsidP="00AC0AE4">
            <w:pPr>
              <w:spacing w:line="240" w:lineRule="auto"/>
              <w:jc w:val="center"/>
              <w:rPr>
                <w:rFonts w:asciiTheme="minorEastAsia" w:eastAsiaTheme="minorEastAsia" w:hAnsiTheme="minorEastAsia" w:cs="Times New Roman Regular"/>
                <w:kern w:val="0"/>
                <w:sz w:val="24"/>
                <w:szCs w:val="24"/>
              </w:rPr>
            </w:pPr>
            <w:r>
              <w:rPr>
                <w:rFonts w:asciiTheme="minorEastAsia" w:eastAsiaTheme="minorEastAsia" w:hAnsiTheme="minorEastAsia" w:cs="Times New Roman Regular"/>
                <w:sz w:val="24"/>
                <w:szCs w:val="24"/>
              </w:rPr>
              <w:t>太仓市城管局</w:t>
            </w:r>
          </w:p>
        </w:tc>
        <w:tc>
          <w:tcPr>
            <w:tcW w:w="4512" w:type="dxa"/>
            <w:vAlign w:val="center"/>
          </w:tcPr>
          <w:p w:rsidR="000E7D14" w:rsidP="00AC0AE4">
            <w:pPr>
              <w:spacing w:line="240" w:lineRule="auto"/>
              <w:rPr>
                <w:rFonts w:asciiTheme="minorEastAsia" w:eastAsiaTheme="minorEastAsia" w:hAnsiTheme="minorEastAsia" w:cs="Times New Roman Regular"/>
                <w:kern w:val="0"/>
                <w:sz w:val="24"/>
                <w:szCs w:val="24"/>
              </w:rPr>
            </w:pPr>
            <w:r>
              <w:rPr>
                <w:rFonts w:asciiTheme="minorEastAsia" w:eastAsiaTheme="minorEastAsia" w:hAnsiTheme="minorEastAsia" w:cs="Times New Roman Regular"/>
                <w:sz w:val="24"/>
                <w:szCs w:val="24"/>
              </w:rPr>
              <w:t>建设规模为处理生活垃圾2250吨/日，协同处置易腐垃圾400吨/日（其中一期建设200吨/日，二期建设200吨/日）；配套建设一座有效库容约50万立方米的飞灰填埋场。</w:t>
            </w:r>
          </w:p>
        </w:tc>
        <w:tc>
          <w:tcPr>
            <w:tcW w:w="1305" w:type="dxa"/>
            <w:vAlign w:val="center"/>
          </w:tcPr>
          <w:p w:rsidR="000E7D14" w:rsidP="00AC0AE4">
            <w:pPr>
              <w:spacing w:line="240" w:lineRule="auto"/>
              <w:jc w:val="center"/>
              <w:rPr>
                <w:rFonts w:asciiTheme="minorEastAsia" w:eastAsiaTheme="minorEastAsia" w:hAnsiTheme="minorEastAsia" w:cs="Times New Roman Regular"/>
                <w:kern w:val="0"/>
                <w:sz w:val="24"/>
                <w:szCs w:val="24"/>
              </w:rPr>
            </w:pPr>
            <w:r>
              <w:rPr>
                <w:rFonts w:asciiTheme="minorEastAsia" w:eastAsiaTheme="minorEastAsia" w:hAnsiTheme="minorEastAsia" w:cs="Times New Roman Regular"/>
                <w:sz w:val="24"/>
                <w:szCs w:val="24"/>
              </w:rPr>
              <w:t>170000</w:t>
            </w:r>
          </w:p>
        </w:tc>
        <w:tc>
          <w:tcPr>
            <w:tcW w:w="1304" w:type="dxa"/>
            <w:vAlign w:val="center"/>
          </w:tcPr>
          <w:p w:rsidR="000E7D14" w:rsidP="00AC0AE4">
            <w:pPr>
              <w:spacing w:line="240" w:lineRule="auto"/>
              <w:jc w:val="center"/>
              <w:rPr>
                <w:rFonts w:asciiTheme="minorEastAsia" w:eastAsiaTheme="minorEastAsia" w:hAnsiTheme="minorEastAsia" w:cs="Times New Roman Regular"/>
                <w:sz w:val="24"/>
                <w:szCs w:val="24"/>
              </w:rPr>
            </w:pPr>
            <w:r>
              <w:rPr>
                <w:rFonts w:asciiTheme="minorEastAsia" w:eastAsiaTheme="minorEastAsia" w:hAnsiTheme="minorEastAsia" w:cs="Times New Roman Regular"/>
                <w:sz w:val="24"/>
                <w:szCs w:val="24"/>
              </w:rPr>
              <w:t>2020-2022</w:t>
            </w:r>
          </w:p>
        </w:tc>
      </w:tr>
      <w:tr w:rsidTr="00AC0AE4">
        <w:tblPrEx>
          <w:tblW w:w="13043" w:type="dxa"/>
          <w:jc w:val="center"/>
          <w:tblLayout w:type="fixed"/>
          <w:tblLook w:val="04A0"/>
        </w:tblPrEx>
        <w:trPr>
          <w:trHeight w:val="510"/>
          <w:jc w:val="center"/>
        </w:trPr>
        <w:tc>
          <w:tcPr>
            <w:tcW w:w="1655" w:type="dxa"/>
            <w:vMerge w:val="restart"/>
            <w:vAlign w:val="center"/>
          </w:tcPr>
          <w:p w:rsidR="000E7D14" w:rsidP="00AC0AE4">
            <w:pPr>
              <w:spacing w:line="240" w:lineRule="auto"/>
              <w:rPr>
                <w:rFonts w:asciiTheme="minorEastAsia" w:eastAsiaTheme="minorEastAsia" w:hAnsiTheme="minorEastAsia" w:cs="Times New Roman Regular"/>
                <w:sz w:val="24"/>
                <w:szCs w:val="24"/>
              </w:rPr>
            </w:pPr>
            <w:r>
              <w:rPr>
                <w:rFonts w:asciiTheme="minorEastAsia" w:eastAsiaTheme="minorEastAsia" w:hAnsiTheme="minorEastAsia" w:cs="Times New Roman Regular"/>
                <w:sz w:val="24"/>
                <w:szCs w:val="24"/>
              </w:rPr>
              <w:t>七、环境监测监控能力</w:t>
            </w:r>
          </w:p>
        </w:tc>
        <w:tc>
          <w:tcPr>
            <w:tcW w:w="687" w:type="dxa"/>
            <w:vAlign w:val="center"/>
          </w:tcPr>
          <w:p w:rsidR="000E7D14" w:rsidP="00AC0AE4">
            <w:pPr>
              <w:spacing w:line="240" w:lineRule="auto"/>
              <w:jc w:val="center"/>
              <w:rPr>
                <w:rFonts w:asciiTheme="minorEastAsia" w:eastAsiaTheme="minorEastAsia" w:hAnsiTheme="minorEastAsia" w:cs="Times New Roman Regular"/>
                <w:sz w:val="24"/>
                <w:szCs w:val="24"/>
              </w:rPr>
            </w:pPr>
            <w:r>
              <w:rPr>
                <w:rFonts w:asciiTheme="minorEastAsia" w:eastAsiaTheme="minorEastAsia" w:hAnsiTheme="minorEastAsia" w:cs="Times New Roman Regular" w:hint="eastAsia"/>
                <w:sz w:val="24"/>
                <w:szCs w:val="24"/>
              </w:rPr>
              <w:t>2</w:t>
            </w:r>
            <w:r>
              <w:rPr>
                <w:rFonts w:asciiTheme="minorEastAsia" w:eastAsiaTheme="minorEastAsia" w:hAnsiTheme="minorEastAsia" w:cs="Times New Roman Regular"/>
                <w:sz w:val="24"/>
                <w:szCs w:val="24"/>
              </w:rPr>
              <w:t>8</w:t>
            </w:r>
          </w:p>
        </w:tc>
        <w:tc>
          <w:tcPr>
            <w:tcW w:w="2174" w:type="dxa"/>
            <w:vAlign w:val="center"/>
          </w:tcPr>
          <w:p w:rsidR="000E7D14" w:rsidP="00AC0AE4">
            <w:pPr>
              <w:spacing w:line="240" w:lineRule="auto"/>
              <w:rPr>
                <w:rFonts w:asciiTheme="minorEastAsia" w:eastAsiaTheme="minorEastAsia" w:hAnsiTheme="minorEastAsia" w:cs="Times New Roman Regular"/>
                <w:sz w:val="24"/>
                <w:szCs w:val="24"/>
              </w:rPr>
            </w:pPr>
            <w:r>
              <w:rPr>
                <w:rFonts w:asciiTheme="minorEastAsia" w:eastAsiaTheme="minorEastAsia" w:hAnsiTheme="minorEastAsia" w:cs="Times New Roman Regular"/>
                <w:sz w:val="24"/>
                <w:szCs w:val="24"/>
              </w:rPr>
              <w:t>污染源自动监控平台升级</w:t>
            </w:r>
          </w:p>
        </w:tc>
        <w:tc>
          <w:tcPr>
            <w:tcW w:w="1406" w:type="dxa"/>
            <w:vAlign w:val="center"/>
          </w:tcPr>
          <w:p w:rsidR="000E7D14" w:rsidP="00AC0AE4">
            <w:pPr>
              <w:spacing w:line="240" w:lineRule="auto"/>
              <w:jc w:val="center"/>
              <w:rPr>
                <w:rFonts w:asciiTheme="minorEastAsia" w:eastAsiaTheme="minorEastAsia" w:hAnsiTheme="minorEastAsia" w:cs="Times New Roman Regular"/>
                <w:kern w:val="0"/>
                <w:sz w:val="24"/>
                <w:szCs w:val="24"/>
              </w:rPr>
            </w:pPr>
            <w:r>
              <w:rPr>
                <w:rFonts w:asciiTheme="minorEastAsia" w:eastAsiaTheme="minorEastAsia" w:hAnsiTheme="minorEastAsia" w:cs="Times New Roman Regular"/>
                <w:kern w:val="0"/>
                <w:sz w:val="24"/>
                <w:szCs w:val="24"/>
              </w:rPr>
              <w:t>太仓生态环境局</w:t>
            </w:r>
          </w:p>
        </w:tc>
        <w:tc>
          <w:tcPr>
            <w:tcW w:w="4512" w:type="dxa"/>
            <w:vAlign w:val="center"/>
          </w:tcPr>
          <w:p w:rsidR="000E7D14" w:rsidP="00AC0AE4">
            <w:pPr>
              <w:spacing w:line="240" w:lineRule="auto"/>
              <w:rPr>
                <w:rFonts w:asciiTheme="minorEastAsia" w:eastAsiaTheme="minorEastAsia" w:hAnsiTheme="minorEastAsia" w:cs="Times New Roman Regular"/>
                <w:sz w:val="24"/>
                <w:szCs w:val="24"/>
              </w:rPr>
            </w:pPr>
            <w:r>
              <w:rPr>
                <w:rFonts w:asciiTheme="minorEastAsia" w:eastAsiaTheme="minorEastAsia" w:hAnsiTheme="minorEastAsia" w:cs="Times New Roman Regular"/>
                <w:sz w:val="24"/>
                <w:szCs w:val="24"/>
              </w:rPr>
              <w:t>自动监控平台后续须集成视频监控、门禁监控、VOC监控等各项监控功能，并将部分数据与省厅对接共享</w:t>
            </w:r>
            <w:r>
              <w:rPr>
                <w:rFonts w:asciiTheme="minorEastAsia" w:eastAsiaTheme="minorEastAsia" w:hAnsiTheme="minorEastAsia" w:cs="Times New Roman Regular" w:hint="eastAsia"/>
                <w:sz w:val="24"/>
                <w:szCs w:val="24"/>
              </w:rPr>
              <w:t>。</w:t>
            </w:r>
          </w:p>
        </w:tc>
        <w:tc>
          <w:tcPr>
            <w:tcW w:w="1305" w:type="dxa"/>
            <w:vAlign w:val="center"/>
          </w:tcPr>
          <w:p w:rsidR="000E7D14" w:rsidP="00AC0AE4">
            <w:pPr>
              <w:spacing w:line="240" w:lineRule="auto"/>
              <w:jc w:val="center"/>
              <w:rPr>
                <w:rFonts w:asciiTheme="minorEastAsia" w:eastAsiaTheme="minorEastAsia" w:hAnsiTheme="minorEastAsia" w:cs="Times New Roman Regular"/>
                <w:kern w:val="0"/>
                <w:sz w:val="24"/>
                <w:szCs w:val="24"/>
              </w:rPr>
            </w:pPr>
            <w:r>
              <w:rPr>
                <w:rFonts w:asciiTheme="minorEastAsia" w:eastAsiaTheme="minorEastAsia" w:hAnsiTheme="minorEastAsia" w:cs="Times New Roman Regular"/>
                <w:kern w:val="0"/>
                <w:sz w:val="24"/>
                <w:szCs w:val="24"/>
              </w:rPr>
              <w:t>300</w:t>
            </w:r>
          </w:p>
        </w:tc>
        <w:tc>
          <w:tcPr>
            <w:tcW w:w="1304" w:type="dxa"/>
            <w:vAlign w:val="center"/>
          </w:tcPr>
          <w:p w:rsidR="000E7D14" w:rsidP="00AC0AE4">
            <w:pPr>
              <w:spacing w:line="240" w:lineRule="auto"/>
              <w:jc w:val="center"/>
              <w:rPr>
                <w:rFonts w:asciiTheme="minorEastAsia" w:eastAsiaTheme="minorEastAsia" w:hAnsiTheme="minorEastAsia" w:cs="Times New Roman Regular"/>
                <w:sz w:val="24"/>
                <w:szCs w:val="24"/>
              </w:rPr>
            </w:pPr>
            <w:r>
              <w:rPr>
                <w:rFonts w:asciiTheme="minorEastAsia" w:eastAsiaTheme="minorEastAsia" w:hAnsiTheme="minorEastAsia" w:cs="Times New Roman Regular"/>
                <w:sz w:val="24"/>
                <w:szCs w:val="24"/>
              </w:rPr>
              <w:t>2020-2025</w:t>
            </w:r>
          </w:p>
        </w:tc>
      </w:tr>
      <w:tr w:rsidTr="00AC0AE4">
        <w:tblPrEx>
          <w:tblW w:w="13043" w:type="dxa"/>
          <w:jc w:val="center"/>
          <w:tblLayout w:type="fixed"/>
          <w:tblLook w:val="04A0"/>
        </w:tblPrEx>
        <w:trPr>
          <w:trHeight w:val="510"/>
          <w:jc w:val="center"/>
        </w:trPr>
        <w:tc>
          <w:tcPr>
            <w:tcW w:w="1655" w:type="dxa"/>
            <w:vMerge/>
            <w:vAlign w:val="center"/>
          </w:tcPr>
          <w:p w:rsidR="000E7D14" w:rsidP="00AC0AE4">
            <w:pPr>
              <w:spacing w:line="240" w:lineRule="auto"/>
              <w:rPr>
                <w:rFonts w:asciiTheme="minorEastAsia" w:eastAsiaTheme="minorEastAsia" w:hAnsiTheme="minorEastAsia" w:cs="Times New Roman Regular"/>
                <w:sz w:val="24"/>
                <w:szCs w:val="24"/>
              </w:rPr>
            </w:pPr>
          </w:p>
        </w:tc>
        <w:tc>
          <w:tcPr>
            <w:tcW w:w="687" w:type="dxa"/>
            <w:vAlign w:val="center"/>
          </w:tcPr>
          <w:p w:rsidR="000E7D14" w:rsidP="00AC0AE4">
            <w:pPr>
              <w:spacing w:line="240" w:lineRule="auto"/>
              <w:jc w:val="center"/>
              <w:rPr>
                <w:rFonts w:asciiTheme="minorEastAsia" w:eastAsiaTheme="minorEastAsia" w:hAnsiTheme="minorEastAsia" w:cs="Times New Roman Regular"/>
                <w:sz w:val="24"/>
                <w:szCs w:val="24"/>
              </w:rPr>
            </w:pPr>
            <w:r>
              <w:rPr>
                <w:rFonts w:asciiTheme="minorEastAsia" w:eastAsiaTheme="minorEastAsia" w:hAnsiTheme="minorEastAsia" w:cs="Times New Roman Regular" w:hint="eastAsia"/>
                <w:sz w:val="24"/>
                <w:szCs w:val="24"/>
              </w:rPr>
              <w:t>2</w:t>
            </w:r>
            <w:r>
              <w:rPr>
                <w:rFonts w:asciiTheme="minorEastAsia" w:eastAsiaTheme="minorEastAsia" w:hAnsiTheme="minorEastAsia" w:cs="Times New Roman Regular"/>
                <w:sz w:val="24"/>
                <w:szCs w:val="24"/>
              </w:rPr>
              <w:t>9</w:t>
            </w:r>
          </w:p>
        </w:tc>
        <w:tc>
          <w:tcPr>
            <w:tcW w:w="2174" w:type="dxa"/>
            <w:vAlign w:val="center"/>
          </w:tcPr>
          <w:p w:rsidR="000E7D14" w:rsidP="00AC0AE4">
            <w:pPr>
              <w:spacing w:line="240" w:lineRule="auto"/>
              <w:rPr>
                <w:rFonts w:asciiTheme="minorEastAsia" w:eastAsiaTheme="minorEastAsia" w:hAnsiTheme="minorEastAsia" w:cs="Times New Roman Regular"/>
                <w:sz w:val="24"/>
                <w:szCs w:val="24"/>
              </w:rPr>
            </w:pPr>
            <w:r>
              <w:rPr>
                <w:rFonts w:asciiTheme="minorEastAsia" w:eastAsiaTheme="minorEastAsia" w:hAnsiTheme="minorEastAsia" w:cs="Times New Roman Regular"/>
                <w:color w:val="0D0D0D"/>
                <w:sz w:val="24"/>
                <w:szCs w:val="24"/>
              </w:rPr>
              <w:t>土壤监测能力提升工程</w:t>
            </w:r>
          </w:p>
        </w:tc>
        <w:tc>
          <w:tcPr>
            <w:tcW w:w="1406" w:type="dxa"/>
            <w:vAlign w:val="center"/>
          </w:tcPr>
          <w:p w:rsidR="000E7D14" w:rsidP="00AC0AE4">
            <w:pPr>
              <w:spacing w:line="240" w:lineRule="auto"/>
              <w:jc w:val="center"/>
              <w:rPr>
                <w:rFonts w:asciiTheme="minorEastAsia" w:eastAsiaTheme="minorEastAsia" w:hAnsiTheme="minorEastAsia" w:cs="Times New Roman Regular"/>
                <w:kern w:val="0"/>
                <w:sz w:val="24"/>
                <w:szCs w:val="24"/>
              </w:rPr>
            </w:pPr>
            <w:r>
              <w:rPr>
                <w:rFonts w:asciiTheme="minorEastAsia" w:eastAsiaTheme="minorEastAsia" w:hAnsiTheme="minorEastAsia" w:cs="Times New Roman Regular"/>
                <w:kern w:val="0"/>
                <w:sz w:val="24"/>
                <w:szCs w:val="24"/>
              </w:rPr>
              <w:t>太仓生态环境局</w:t>
            </w:r>
          </w:p>
        </w:tc>
        <w:tc>
          <w:tcPr>
            <w:tcW w:w="4512" w:type="dxa"/>
            <w:vAlign w:val="center"/>
          </w:tcPr>
          <w:p w:rsidR="000E7D14" w:rsidP="00AC0AE4">
            <w:pPr>
              <w:spacing w:line="240" w:lineRule="auto"/>
              <w:rPr>
                <w:rFonts w:asciiTheme="minorEastAsia" w:eastAsiaTheme="minorEastAsia" w:hAnsiTheme="minorEastAsia" w:cs="Times New Roman Regular"/>
                <w:sz w:val="24"/>
                <w:szCs w:val="24"/>
              </w:rPr>
            </w:pPr>
            <w:r>
              <w:rPr>
                <w:rFonts w:asciiTheme="minorEastAsia" w:eastAsiaTheme="minorEastAsia" w:hAnsiTheme="minorEastAsia" w:cs="Times New Roman Regular"/>
                <w:color w:val="0D0D0D"/>
                <w:sz w:val="24"/>
                <w:szCs w:val="24"/>
              </w:rPr>
              <w:t>形成土壤和危废浸出毒性有机监测能力。</w:t>
            </w:r>
          </w:p>
        </w:tc>
        <w:tc>
          <w:tcPr>
            <w:tcW w:w="1305" w:type="dxa"/>
            <w:vAlign w:val="center"/>
          </w:tcPr>
          <w:p w:rsidR="000E7D14" w:rsidP="00AC0AE4">
            <w:pPr>
              <w:spacing w:line="240" w:lineRule="auto"/>
              <w:jc w:val="center"/>
              <w:rPr>
                <w:rFonts w:asciiTheme="minorEastAsia" w:eastAsiaTheme="minorEastAsia" w:hAnsiTheme="minorEastAsia" w:cs="Times New Roman Regular"/>
                <w:kern w:val="0"/>
                <w:sz w:val="24"/>
                <w:szCs w:val="24"/>
              </w:rPr>
            </w:pPr>
            <w:r>
              <w:rPr>
                <w:rFonts w:asciiTheme="minorEastAsia" w:eastAsiaTheme="minorEastAsia" w:hAnsiTheme="minorEastAsia" w:cs="Times New Roman Regular"/>
                <w:kern w:val="0"/>
                <w:sz w:val="24"/>
                <w:szCs w:val="24"/>
              </w:rPr>
              <w:t>600</w:t>
            </w:r>
          </w:p>
        </w:tc>
        <w:tc>
          <w:tcPr>
            <w:tcW w:w="1304" w:type="dxa"/>
            <w:vAlign w:val="center"/>
          </w:tcPr>
          <w:p w:rsidR="000E7D14" w:rsidP="00AC0AE4">
            <w:pPr>
              <w:spacing w:line="240" w:lineRule="auto"/>
              <w:jc w:val="center"/>
              <w:rPr>
                <w:rFonts w:asciiTheme="minorEastAsia" w:eastAsiaTheme="minorEastAsia" w:hAnsiTheme="minorEastAsia" w:cs="Times New Roman Regular"/>
                <w:sz w:val="24"/>
                <w:szCs w:val="24"/>
              </w:rPr>
            </w:pPr>
            <w:r>
              <w:rPr>
                <w:rFonts w:asciiTheme="minorEastAsia" w:eastAsiaTheme="minorEastAsia" w:hAnsiTheme="minorEastAsia" w:cs="Times New Roman Regular"/>
                <w:sz w:val="24"/>
                <w:szCs w:val="24"/>
              </w:rPr>
              <w:t>2022-2030</w:t>
            </w:r>
          </w:p>
        </w:tc>
      </w:tr>
      <w:tr w:rsidTr="00AC0AE4">
        <w:tblPrEx>
          <w:tblW w:w="13043" w:type="dxa"/>
          <w:jc w:val="center"/>
          <w:tblLayout w:type="fixed"/>
          <w:tblLook w:val="04A0"/>
        </w:tblPrEx>
        <w:trPr>
          <w:trHeight w:val="510"/>
          <w:jc w:val="center"/>
        </w:trPr>
        <w:tc>
          <w:tcPr>
            <w:tcW w:w="1655" w:type="dxa"/>
            <w:vMerge/>
            <w:vAlign w:val="center"/>
          </w:tcPr>
          <w:p w:rsidR="000E7D14" w:rsidP="00AC0AE4">
            <w:pPr>
              <w:spacing w:line="240" w:lineRule="auto"/>
              <w:rPr>
                <w:rFonts w:asciiTheme="minorEastAsia" w:eastAsiaTheme="minorEastAsia" w:hAnsiTheme="minorEastAsia" w:cs="Times New Roman Regular"/>
                <w:sz w:val="24"/>
                <w:szCs w:val="24"/>
              </w:rPr>
            </w:pPr>
          </w:p>
        </w:tc>
        <w:tc>
          <w:tcPr>
            <w:tcW w:w="687" w:type="dxa"/>
            <w:vAlign w:val="center"/>
          </w:tcPr>
          <w:p w:rsidR="000E7D14" w:rsidP="00AC0AE4">
            <w:pPr>
              <w:spacing w:line="240" w:lineRule="auto"/>
              <w:jc w:val="center"/>
              <w:rPr>
                <w:rFonts w:asciiTheme="minorEastAsia" w:eastAsiaTheme="minorEastAsia" w:hAnsiTheme="minorEastAsia" w:cs="Times New Roman Regular"/>
                <w:sz w:val="24"/>
                <w:szCs w:val="24"/>
              </w:rPr>
            </w:pPr>
            <w:r>
              <w:rPr>
                <w:rFonts w:asciiTheme="minorEastAsia" w:eastAsiaTheme="minorEastAsia" w:hAnsiTheme="minorEastAsia" w:cs="Times New Roman Regular"/>
                <w:sz w:val="24"/>
                <w:szCs w:val="24"/>
              </w:rPr>
              <w:t>30</w:t>
            </w:r>
          </w:p>
        </w:tc>
        <w:tc>
          <w:tcPr>
            <w:tcW w:w="2174" w:type="dxa"/>
            <w:vAlign w:val="center"/>
          </w:tcPr>
          <w:p w:rsidR="000E7D14" w:rsidP="00AC0AE4">
            <w:pPr>
              <w:spacing w:line="240" w:lineRule="auto"/>
              <w:rPr>
                <w:rFonts w:asciiTheme="minorEastAsia" w:eastAsiaTheme="minorEastAsia" w:hAnsiTheme="minorEastAsia" w:cs="Times New Roman Regular"/>
                <w:sz w:val="24"/>
                <w:szCs w:val="24"/>
              </w:rPr>
            </w:pPr>
            <w:r>
              <w:rPr>
                <w:rFonts w:asciiTheme="minorEastAsia" w:eastAsiaTheme="minorEastAsia" w:hAnsiTheme="minorEastAsia" w:cs="Times New Roman Regular"/>
                <w:color w:val="0D0D0D"/>
                <w:sz w:val="24"/>
                <w:szCs w:val="24"/>
              </w:rPr>
              <w:t>水、大气监测能力提升工程</w:t>
            </w:r>
          </w:p>
        </w:tc>
        <w:tc>
          <w:tcPr>
            <w:tcW w:w="1406" w:type="dxa"/>
            <w:vAlign w:val="center"/>
          </w:tcPr>
          <w:p w:rsidR="000E7D14" w:rsidP="00AC0AE4">
            <w:pPr>
              <w:spacing w:line="240" w:lineRule="auto"/>
              <w:jc w:val="center"/>
              <w:rPr>
                <w:rFonts w:asciiTheme="minorEastAsia" w:eastAsiaTheme="minorEastAsia" w:hAnsiTheme="minorEastAsia" w:cs="Times New Roman Regular"/>
                <w:kern w:val="0"/>
                <w:sz w:val="24"/>
                <w:szCs w:val="24"/>
              </w:rPr>
            </w:pPr>
            <w:r>
              <w:rPr>
                <w:rFonts w:asciiTheme="minorEastAsia" w:eastAsiaTheme="minorEastAsia" w:hAnsiTheme="minorEastAsia" w:cs="Times New Roman Regular"/>
                <w:kern w:val="0"/>
                <w:sz w:val="24"/>
                <w:szCs w:val="24"/>
              </w:rPr>
              <w:t>太仓生态环境局</w:t>
            </w:r>
          </w:p>
        </w:tc>
        <w:tc>
          <w:tcPr>
            <w:tcW w:w="4512" w:type="dxa"/>
            <w:vAlign w:val="center"/>
          </w:tcPr>
          <w:p w:rsidR="000E7D14" w:rsidP="00AC0AE4">
            <w:pPr>
              <w:spacing w:line="240" w:lineRule="auto"/>
              <w:rPr>
                <w:rFonts w:asciiTheme="minorEastAsia" w:eastAsiaTheme="minorEastAsia" w:hAnsiTheme="minorEastAsia" w:cs="Times New Roman Regular"/>
                <w:sz w:val="24"/>
                <w:szCs w:val="24"/>
              </w:rPr>
            </w:pPr>
            <w:r>
              <w:rPr>
                <w:rFonts w:asciiTheme="minorEastAsia" w:eastAsiaTheme="minorEastAsia" w:hAnsiTheme="minorEastAsia" w:cs="Times New Roman Regular"/>
                <w:color w:val="0D0D0D"/>
                <w:sz w:val="24"/>
                <w:szCs w:val="24"/>
              </w:rPr>
              <w:t>建设水质自动监测站15个；开展环境空气VOC自动监测。</w:t>
            </w:r>
          </w:p>
        </w:tc>
        <w:tc>
          <w:tcPr>
            <w:tcW w:w="1305" w:type="dxa"/>
            <w:vAlign w:val="center"/>
          </w:tcPr>
          <w:p w:rsidR="000E7D14" w:rsidP="00AC0AE4">
            <w:pPr>
              <w:spacing w:line="240" w:lineRule="auto"/>
              <w:jc w:val="center"/>
              <w:rPr>
                <w:rFonts w:asciiTheme="minorEastAsia" w:eastAsiaTheme="minorEastAsia" w:hAnsiTheme="minorEastAsia" w:cs="Times New Roman Regular"/>
                <w:kern w:val="0"/>
                <w:sz w:val="24"/>
                <w:szCs w:val="24"/>
              </w:rPr>
            </w:pPr>
            <w:r>
              <w:rPr>
                <w:rFonts w:asciiTheme="minorEastAsia" w:eastAsiaTheme="minorEastAsia" w:hAnsiTheme="minorEastAsia" w:cs="Times New Roman Regular"/>
                <w:kern w:val="0"/>
                <w:sz w:val="24"/>
                <w:szCs w:val="24"/>
              </w:rPr>
              <w:t>1800</w:t>
            </w:r>
          </w:p>
        </w:tc>
        <w:tc>
          <w:tcPr>
            <w:tcW w:w="1304" w:type="dxa"/>
            <w:vAlign w:val="center"/>
          </w:tcPr>
          <w:p w:rsidR="000E7D14" w:rsidP="00AC0AE4">
            <w:pPr>
              <w:spacing w:line="240" w:lineRule="auto"/>
              <w:jc w:val="center"/>
              <w:rPr>
                <w:rFonts w:asciiTheme="minorEastAsia" w:eastAsiaTheme="minorEastAsia" w:hAnsiTheme="minorEastAsia" w:cs="Times New Roman Regular"/>
                <w:sz w:val="24"/>
                <w:szCs w:val="24"/>
              </w:rPr>
            </w:pPr>
            <w:r>
              <w:rPr>
                <w:rFonts w:asciiTheme="minorEastAsia" w:eastAsiaTheme="minorEastAsia" w:hAnsiTheme="minorEastAsia" w:cs="Times New Roman Regular"/>
                <w:iCs/>
                <w:color w:val="0D0D0D"/>
                <w:sz w:val="24"/>
                <w:szCs w:val="24"/>
              </w:rPr>
              <w:t>2021-2030</w:t>
            </w:r>
          </w:p>
        </w:tc>
      </w:tr>
      <w:tr w:rsidTr="00AC0AE4">
        <w:tblPrEx>
          <w:tblW w:w="13043" w:type="dxa"/>
          <w:jc w:val="center"/>
          <w:tblLayout w:type="fixed"/>
          <w:tblLook w:val="04A0"/>
        </w:tblPrEx>
        <w:trPr>
          <w:trHeight w:val="510"/>
          <w:jc w:val="center"/>
        </w:trPr>
        <w:tc>
          <w:tcPr>
            <w:tcW w:w="1655" w:type="dxa"/>
            <w:vMerge w:val="restart"/>
            <w:vAlign w:val="center"/>
          </w:tcPr>
          <w:p w:rsidR="000E7D14" w:rsidP="00AC0AE4">
            <w:pPr>
              <w:spacing w:line="240" w:lineRule="auto"/>
              <w:rPr>
                <w:rFonts w:asciiTheme="minorEastAsia" w:eastAsiaTheme="minorEastAsia" w:hAnsiTheme="minorEastAsia" w:cs="Times New Roman Regular"/>
                <w:sz w:val="24"/>
                <w:szCs w:val="24"/>
              </w:rPr>
            </w:pPr>
            <w:r>
              <w:rPr>
                <w:rFonts w:asciiTheme="minorEastAsia" w:eastAsiaTheme="minorEastAsia" w:hAnsiTheme="minorEastAsia" w:cs="Times New Roman Regular"/>
                <w:sz w:val="24"/>
                <w:szCs w:val="24"/>
              </w:rPr>
              <w:t>八、</w:t>
            </w:r>
            <w:r>
              <w:rPr>
                <w:rFonts w:asciiTheme="minorEastAsia" w:eastAsiaTheme="minorEastAsia" w:hAnsiTheme="minorEastAsia" w:cs="Times New Roman Regular" w:hint="eastAsia"/>
                <w:sz w:val="24"/>
                <w:szCs w:val="24"/>
              </w:rPr>
              <w:t>生态</w:t>
            </w:r>
            <w:r>
              <w:rPr>
                <w:rFonts w:asciiTheme="minorEastAsia" w:eastAsiaTheme="minorEastAsia" w:hAnsiTheme="minorEastAsia" w:cs="Times New Roman Regular"/>
                <w:sz w:val="24"/>
                <w:szCs w:val="24"/>
              </w:rPr>
              <w:t>文明建设</w:t>
            </w:r>
          </w:p>
        </w:tc>
        <w:tc>
          <w:tcPr>
            <w:tcW w:w="687" w:type="dxa"/>
            <w:vAlign w:val="center"/>
          </w:tcPr>
          <w:p w:rsidR="000E7D14" w:rsidP="00AC0AE4">
            <w:pPr>
              <w:spacing w:line="240" w:lineRule="auto"/>
              <w:jc w:val="center"/>
              <w:rPr>
                <w:rFonts w:asciiTheme="minorEastAsia" w:eastAsiaTheme="minorEastAsia" w:hAnsiTheme="minorEastAsia" w:cs="Times New Roman Regular"/>
                <w:sz w:val="24"/>
                <w:szCs w:val="24"/>
              </w:rPr>
            </w:pPr>
            <w:r>
              <w:rPr>
                <w:rFonts w:asciiTheme="minorEastAsia" w:eastAsiaTheme="minorEastAsia" w:hAnsiTheme="minorEastAsia" w:cs="Times New Roman Regular" w:hint="eastAsia"/>
                <w:sz w:val="24"/>
                <w:szCs w:val="24"/>
              </w:rPr>
              <w:t>3</w:t>
            </w:r>
            <w:r>
              <w:rPr>
                <w:rFonts w:asciiTheme="minorEastAsia" w:eastAsiaTheme="minorEastAsia" w:hAnsiTheme="minorEastAsia" w:cs="Times New Roman Regular"/>
                <w:sz w:val="24"/>
                <w:szCs w:val="24"/>
              </w:rPr>
              <w:t>1</w:t>
            </w:r>
          </w:p>
        </w:tc>
        <w:tc>
          <w:tcPr>
            <w:tcW w:w="2174" w:type="dxa"/>
            <w:vAlign w:val="center"/>
          </w:tcPr>
          <w:p w:rsidR="000E7D14" w:rsidP="00AC0AE4">
            <w:pPr>
              <w:spacing w:line="240" w:lineRule="auto"/>
              <w:rPr>
                <w:rFonts w:asciiTheme="minorEastAsia" w:eastAsiaTheme="minorEastAsia" w:hAnsiTheme="minorEastAsia" w:cs="Times New Roman Regular"/>
                <w:sz w:val="24"/>
                <w:szCs w:val="24"/>
              </w:rPr>
            </w:pPr>
            <w:r>
              <w:rPr>
                <w:rFonts w:asciiTheme="minorEastAsia" w:eastAsiaTheme="minorEastAsia" w:hAnsiTheme="minorEastAsia" w:cs="Times New Roman Regular"/>
                <w:color w:val="0D0D0D"/>
                <w:sz w:val="24"/>
                <w:szCs w:val="24"/>
              </w:rPr>
              <w:t>生态文明宣传工程</w:t>
            </w:r>
          </w:p>
        </w:tc>
        <w:tc>
          <w:tcPr>
            <w:tcW w:w="1406" w:type="dxa"/>
            <w:vAlign w:val="center"/>
          </w:tcPr>
          <w:p w:rsidR="000E7D14" w:rsidP="00AC0AE4">
            <w:pPr>
              <w:spacing w:line="240" w:lineRule="auto"/>
              <w:jc w:val="center"/>
              <w:rPr>
                <w:rFonts w:asciiTheme="minorEastAsia" w:eastAsiaTheme="minorEastAsia" w:hAnsiTheme="minorEastAsia" w:cs="Times New Roman Regular"/>
                <w:sz w:val="24"/>
                <w:szCs w:val="24"/>
              </w:rPr>
            </w:pPr>
            <w:r>
              <w:rPr>
                <w:rFonts w:asciiTheme="minorEastAsia" w:eastAsiaTheme="minorEastAsia" w:hAnsiTheme="minorEastAsia" w:cs="Times New Roman Regular" w:hint="eastAsia"/>
                <w:color w:val="0D0D0D"/>
                <w:sz w:val="24"/>
                <w:szCs w:val="24"/>
              </w:rPr>
              <w:t>太仓</w:t>
            </w:r>
            <w:r>
              <w:rPr>
                <w:rFonts w:asciiTheme="minorEastAsia" w:eastAsiaTheme="minorEastAsia" w:hAnsiTheme="minorEastAsia" w:cs="Times New Roman Regular"/>
                <w:color w:val="0D0D0D"/>
                <w:sz w:val="24"/>
                <w:szCs w:val="24"/>
              </w:rPr>
              <w:t>生态环境局、太仓市宣传部、太仓市教育局</w:t>
            </w:r>
          </w:p>
        </w:tc>
        <w:tc>
          <w:tcPr>
            <w:tcW w:w="4512" w:type="dxa"/>
            <w:vAlign w:val="center"/>
          </w:tcPr>
          <w:p w:rsidR="000E7D14" w:rsidP="00AC0AE4">
            <w:pPr>
              <w:spacing w:line="240" w:lineRule="auto"/>
              <w:rPr>
                <w:rFonts w:asciiTheme="minorEastAsia" w:eastAsiaTheme="minorEastAsia" w:hAnsiTheme="minorEastAsia" w:cs="Times New Roman Regular"/>
                <w:sz w:val="24"/>
                <w:szCs w:val="24"/>
              </w:rPr>
            </w:pPr>
            <w:r>
              <w:rPr>
                <w:rFonts w:asciiTheme="minorEastAsia" w:eastAsiaTheme="minorEastAsia" w:hAnsiTheme="minorEastAsia" w:cs="Times New Roman Regular"/>
                <w:color w:val="0D0D0D"/>
                <w:sz w:val="24"/>
                <w:szCs w:val="24"/>
              </w:rPr>
              <w:t>结合“3.22”世界水日、“4.22”世界地球日、“6.5”世界环境日等重要纪念环保节日，在全市各中小学、社区，以论坛、培训班、讲座、社团活动、比赛等形式，进行生态文明宣传活动。</w:t>
            </w:r>
          </w:p>
        </w:tc>
        <w:tc>
          <w:tcPr>
            <w:tcW w:w="1305" w:type="dxa"/>
            <w:vAlign w:val="center"/>
          </w:tcPr>
          <w:p w:rsidR="000E7D14" w:rsidP="00AC0AE4">
            <w:pPr>
              <w:spacing w:line="240" w:lineRule="auto"/>
              <w:jc w:val="center"/>
              <w:rPr>
                <w:rFonts w:asciiTheme="minorEastAsia" w:eastAsiaTheme="minorEastAsia" w:hAnsiTheme="minorEastAsia" w:cs="Times New Roman Regular"/>
                <w:sz w:val="24"/>
                <w:szCs w:val="24"/>
              </w:rPr>
            </w:pPr>
            <w:r>
              <w:rPr>
                <w:rFonts w:asciiTheme="minorEastAsia" w:eastAsiaTheme="minorEastAsia" w:hAnsiTheme="minorEastAsia" w:cs="Times New Roman Regular"/>
                <w:sz w:val="24"/>
                <w:szCs w:val="24"/>
              </w:rPr>
              <w:t>500</w:t>
            </w:r>
          </w:p>
        </w:tc>
        <w:tc>
          <w:tcPr>
            <w:tcW w:w="1304" w:type="dxa"/>
            <w:vAlign w:val="center"/>
          </w:tcPr>
          <w:p w:rsidR="000E7D14" w:rsidP="00AC0AE4">
            <w:pPr>
              <w:spacing w:line="240" w:lineRule="auto"/>
              <w:jc w:val="center"/>
              <w:rPr>
                <w:rFonts w:asciiTheme="minorEastAsia" w:eastAsiaTheme="minorEastAsia" w:hAnsiTheme="minorEastAsia" w:cs="Times New Roman Regular"/>
                <w:sz w:val="24"/>
                <w:szCs w:val="24"/>
              </w:rPr>
            </w:pPr>
            <w:r>
              <w:rPr>
                <w:rFonts w:asciiTheme="minorEastAsia" w:eastAsiaTheme="minorEastAsia" w:hAnsiTheme="minorEastAsia" w:cs="Times New Roman Regular"/>
                <w:color w:val="0D0D0D"/>
                <w:sz w:val="24"/>
                <w:szCs w:val="24"/>
              </w:rPr>
              <w:t>2020-2030</w:t>
            </w:r>
          </w:p>
        </w:tc>
      </w:tr>
      <w:tr w:rsidTr="00AC0AE4">
        <w:tblPrEx>
          <w:tblW w:w="13043" w:type="dxa"/>
          <w:jc w:val="center"/>
          <w:tblLayout w:type="fixed"/>
          <w:tblLook w:val="04A0"/>
        </w:tblPrEx>
        <w:trPr>
          <w:trHeight w:val="510"/>
          <w:jc w:val="center"/>
        </w:trPr>
        <w:tc>
          <w:tcPr>
            <w:tcW w:w="1655" w:type="dxa"/>
            <w:vMerge/>
            <w:vAlign w:val="center"/>
          </w:tcPr>
          <w:p w:rsidR="000E7D14" w:rsidP="00AC0AE4">
            <w:pPr>
              <w:spacing w:line="240" w:lineRule="auto"/>
              <w:rPr>
                <w:rFonts w:asciiTheme="minorEastAsia" w:eastAsiaTheme="minorEastAsia" w:hAnsiTheme="minorEastAsia" w:cs="Times New Roman Regular"/>
                <w:sz w:val="24"/>
                <w:szCs w:val="24"/>
              </w:rPr>
            </w:pPr>
          </w:p>
        </w:tc>
        <w:tc>
          <w:tcPr>
            <w:tcW w:w="687" w:type="dxa"/>
            <w:vAlign w:val="center"/>
          </w:tcPr>
          <w:p w:rsidR="000E7D14" w:rsidP="00AC0AE4">
            <w:pPr>
              <w:spacing w:line="240" w:lineRule="auto"/>
              <w:jc w:val="center"/>
              <w:rPr>
                <w:rFonts w:asciiTheme="minorEastAsia" w:eastAsiaTheme="minorEastAsia" w:hAnsiTheme="minorEastAsia" w:cs="Times New Roman Regular"/>
                <w:sz w:val="24"/>
                <w:szCs w:val="24"/>
              </w:rPr>
            </w:pPr>
            <w:r>
              <w:rPr>
                <w:rFonts w:asciiTheme="minorEastAsia" w:eastAsiaTheme="minorEastAsia" w:hAnsiTheme="minorEastAsia" w:cs="Times New Roman Regular" w:hint="eastAsia"/>
                <w:sz w:val="24"/>
                <w:szCs w:val="24"/>
              </w:rPr>
              <w:t>3</w:t>
            </w:r>
            <w:r>
              <w:rPr>
                <w:rFonts w:asciiTheme="minorEastAsia" w:eastAsiaTheme="minorEastAsia" w:hAnsiTheme="minorEastAsia" w:cs="Times New Roman Regular"/>
                <w:sz w:val="24"/>
                <w:szCs w:val="24"/>
              </w:rPr>
              <w:t>2</w:t>
            </w:r>
          </w:p>
        </w:tc>
        <w:tc>
          <w:tcPr>
            <w:tcW w:w="2174" w:type="dxa"/>
            <w:vAlign w:val="center"/>
          </w:tcPr>
          <w:p w:rsidR="000E7D14" w:rsidP="00AC0AE4">
            <w:pPr>
              <w:spacing w:line="240" w:lineRule="auto"/>
              <w:rPr>
                <w:rFonts w:asciiTheme="minorEastAsia" w:eastAsiaTheme="minorEastAsia" w:hAnsiTheme="minorEastAsia" w:cs="Times New Roman Regular"/>
                <w:sz w:val="24"/>
                <w:szCs w:val="24"/>
              </w:rPr>
            </w:pPr>
            <w:r>
              <w:rPr>
                <w:rFonts w:asciiTheme="minorEastAsia" w:eastAsiaTheme="minorEastAsia" w:hAnsiTheme="minorEastAsia" w:cs="Times New Roman Regular"/>
                <w:color w:val="0D0D0D"/>
                <w:sz w:val="24"/>
                <w:szCs w:val="24"/>
              </w:rPr>
              <w:t>生态文化村创建</w:t>
            </w:r>
          </w:p>
        </w:tc>
        <w:tc>
          <w:tcPr>
            <w:tcW w:w="1406" w:type="dxa"/>
            <w:vAlign w:val="center"/>
          </w:tcPr>
          <w:p w:rsidR="000E7D14" w:rsidP="00AC0AE4">
            <w:pPr>
              <w:spacing w:line="240" w:lineRule="auto"/>
              <w:jc w:val="center"/>
              <w:rPr>
                <w:rFonts w:asciiTheme="minorEastAsia" w:eastAsiaTheme="minorEastAsia" w:hAnsiTheme="minorEastAsia" w:cs="Times New Roman Regular"/>
                <w:sz w:val="24"/>
                <w:szCs w:val="24"/>
              </w:rPr>
            </w:pPr>
            <w:r>
              <w:rPr>
                <w:rFonts w:asciiTheme="minorEastAsia" w:eastAsiaTheme="minorEastAsia" w:hAnsiTheme="minorEastAsia" w:cs="Times New Roman Regular"/>
                <w:color w:val="0D0D0D"/>
                <w:sz w:val="24"/>
                <w:szCs w:val="24"/>
              </w:rPr>
              <w:t>太仓生态环境局、太仓市工信局、太仓市住建局</w:t>
            </w:r>
          </w:p>
        </w:tc>
        <w:tc>
          <w:tcPr>
            <w:tcW w:w="4512" w:type="dxa"/>
            <w:vAlign w:val="center"/>
          </w:tcPr>
          <w:p w:rsidR="000E7D14" w:rsidP="00AC0AE4">
            <w:pPr>
              <w:spacing w:line="240" w:lineRule="auto"/>
              <w:rPr>
                <w:rFonts w:asciiTheme="minorEastAsia" w:eastAsiaTheme="minorEastAsia" w:hAnsiTheme="minorEastAsia" w:cs="Times New Roman Regular"/>
                <w:sz w:val="24"/>
                <w:szCs w:val="24"/>
              </w:rPr>
            </w:pPr>
            <w:r>
              <w:rPr>
                <w:rFonts w:asciiTheme="minorEastAsia" w:eastAsiaTheme="minorEastAsia" w:hAnsiTheme="minorEastAsia" w:cs="Times New Roman Regular"/>
                <w:color w:val="0D0D0D"/>
                <w:sz w:val="24"/>
                <w:szCs w:val="24"/>
              </w:rPr>
              <w:t>加大农村生态文明宣传力度，以村为单位设立生态文明宣传栏；进行生态文化村创建工作，创建1-2个全国生态文化村。</w:t>
            </w:r>
          </w:p>
        </w:tc>
        <w:tc>
          <w:tcPr>
            <w:tcW w:w="1305" w:type="dxa"/>
            <w:vAlign w:val="center"/>
          </w:tcPr>
          <w:p w:rsidR="000E7D14" w:rsidP="00AC0AE4">
            <w:pPr>
              <w:spacing w:line="240" w:lineRule="auto"/>
              <w:jc w:val="center"/>
              <w:rPr>
                <w:rFonts w:asciiTheme="minorEastAsia" w:eastAsiaTheme="minorEastAsia" w:hAnsiTheme="minorEastAsia" w:cs="Times New Roman Regular"/>
                <w:sz w:val="24"/>
                <w:szCs w:val="24"/>
              </w:rPr>
            </w:pPr>
            <w:r>
              <w:rPr>
                <w:rFonts w:asciiTheme="minorEastAsia" w:eastAsiaTheme="minorEastAsia" w:hAnsiTheme="minorEastAsia" w:cs="Times New Roman Regular"/>
                <w:sz w:val="24"/>
                <w:szCs w:val="24"/>
              </w:rPr>
              <w:t>500</w:t>
            </w:r>
          </w:p>
        </w:tc>
        <w:tc>
          <w:tcPr>
            <w:tcW w:w="1304" w:type="dxa"/>
            <w:vAlign w:val="center"/>
          </w:tcPr>
          <w:p w:rsidR="000E7D14" w:rsidP="00AC0AE4">
            <w:pPr>
              <w:spacing w:line="240" w:lineRule="auto"/>
              <w:jc w:val="center"/>
              <w:rPr>
                <w:rFonts w:asciiTheme="minorEastAsia" w:eastAsiaTheme="minorEastAsia" w:hAnsiTheme="minorEastAsia" w:cs="Times New Roman Regular"/>
                <w:sz w:val="24"/>
                <w:szCs w:val="24"/>
              </w:rPr>
            </w:pPr>
            <w:r>
              <w:rPr>
                <w:rFonts w:asciiTheme="minorEastAsia" w:eastAsiaTheme="minorEastAsia" w:hAnsiTheme="minorEastAsia" w:cs="Times New Roman Regular"/>
                <w:color w:val="0D0D0D"/>
                <w:sz w:val="24"/>
                <w:szCs w:val="24"/>
              </w:rPr>
              <w:t>2020-2030</w:t>
            </w:r>
          </w:p>
        </w:tc>
      </w:tr>
      <w:tr w:rsidTr="00AC0AE4">
        <w:tblPrEx>
          <w:tblW w:w="13043" w:type="dxa"/>
          <w:jc w:val="center"/>
          <w:tblLayout w:type="fixed"/>
          <w:tblLook w:val="04A0"/>
        </w:tblPrEx>
        <w:trPr>
          <w:trHeight w:val="510"/>
          <w:jc w:val="center"/>
        </w:trPr>
        <w:tc>
          <w:tcPr>
            <w:tcW w:w="1655" w:type="dxa"/>
            <w:vAlign w:val="center"/>
          </w:tcPr>
          <w:p w:rsidR="000E7D14" w:rsidP="00AC0AE4">
            <w:pPr>
              <w:spacing w:line="240" w:lineRule="auto"/>
              <w:jc w:val="center"/>
              <w:rPr>
                <w:rFonts w:asciiTheme="minorEastAsia" w:eastAsiaTheme="minorEastAsia" w:hAnsiTheme="minorEastAsia" w:cs="Times New Roman Regular"/>
                <w:b/>
                <w:sz w:val="24"/>
                <w:szCs w:val="24"/>
              </w:rPr>
            </w:pPr>
            <w:r>
              <w:rPr>
                <w:rFonts w:asciiTheme="minorEastAsia" w:eastAsiaTheme="minorEastAsia" w:hAnsiTheme="minorEastAsia" w:cs="Times New Roman Regular"/>
                <w:b/>
                <w:sz w:val="24"/>
                <w:szCs w:val="24"/>
              </w:rPr>
              <w:t>合计</w:t>
            </w:r>
          </w:p>
        </w:tc>
        <w:tc>
          <w:tcPr>
            <w:tcW w:w="8779" w:type="dxa"/>
            <w:gridSpan w:val="4"/>
            <w:vAlign w:val="center"/>
          </w:tcPr>
          <w:p w:rsidR="000E7D14" w:rsidP="00AC0AE4">
            <w:pPr>
              <w:spacing w:line="240" w:lineRule="auto"/>
              <w:jc w:val="center"/>
              <w:rPr>
                <w:rFonts w:asciiTheme="minorEastAsia" w:eastAsiaTheme="minorEastAsia" w:hAnsiTheme="minorEastAsia" w:cs="Times New Roman Regular"/>
                <w:color w:val="000000"/>
                <w:sz w:val="24"/>
                <w:szCs w:val="24"/>
              </w:rPr>
            </w:pPr>
          </w:p>
        </w:tc>
        <w:tc>
          <w:tcPr>
            <w:tcW w:w="1305" w:type="dxa"/>
            <w:vAlign w:val="center"/>
          </w:tcPr>
          <w:p w:rsidR="000E7D14" w:rsidP="00AC0AE4">
            <w:pPr>
              <w:spacing w:line="240" w:lineRule="auto"/>
              <w:jc w:val="center"/>
              <w:rPr>
                <w:rFonts w:asciiTheme="minorEastAsia" w:eastAsiaTheme="minorEastAsia" w:hAnsiTheme="minorEastAsia" w:cs="Times New Roman Regular"/>
                <w:sz w:val="24"/>
                <w:szCs w:val="24"/>
              </w:rPr>
            </w:pPr>
            <w:r>
              <w:rPr>
                <w:rFonts w:asciiTheme="minorEastAsia" w:eastAsiaTheme="minorEastAsia" w:hAnsiTheme="minorEastAsia" w:cs="Times New Roman Regular"/>
                <w:sz w:val="24"/>
                <w:szCs w:val="24"/>
              </w:rPr>
              <w:t>361031</w:t>
            </w:r>
          </w:p>
        </w:tc>
        <w:tc>
          <w:tcPr>
            <w:tcW w:w="1304" w:type="dxa"/>
            <w:vAlign w:val="center"/>
          </w:tcPr>
          <w:p w:rsidR="000E7D14" w:rsidP="00AC0AE4">
            <w:pPr>
              <w:spacing w:line="240" w:lineRule="auto"/>
              <w:jc w:val="center"/>
              <w:rPr>
                <w:rFonts w:asciiTheme="minorEastAsia" w:eastAsiaTheme="minorEastAsia" w:hAnsiTheme="minorEastAsia" w:cs="Times New Roman Regular"/>
                <w:color w:val="000000"/>
                <w:sz w:val="24"/>
                <w:szCs w:val="24"/>
              </w:rPr>
            </w:pPr>
          </w:p>
        </w:tc>
      </w:tr>
    </w:tbl>
    <w:p w:rsidR="00B373FD">
      <w:pPr>
        <w:adjustRightInd w:val="0"/>
        <w:snapToGrid w:val="0"/>
        <w:sectPr>
          <w:headerReference w:type="even" r:id="rId58"/>
          <w:headerReference w:type="default" r:id="rId59"/>
          <w:headerReference w:type="first" r:id="rId60"/>
          <w:pgSz w:w="16838" w:h="11906" w:orient="landscape"/>
          <w:pgMar w:top="1800" w:right="1440" w:bottom="1800" w:left="1440" w:header="851" w:footer="992" w:gutter="0"/>
          <w:cols w:space="720"/>
          <w:docGrid w:type="lines" w:linePitch="312"/>
        </w:sectPr>
      </w:pPr>
    </w:p>
    <w:p w:rsidR="00B373FD">
      <w:pPr>
        <w:adjustRightInd w:val="0"/>
        <w:snapToGrid w:val="0"/>
        <w:rPr>
          <w:rFonts w:eastAsia="楷体_GB2312"/>
          <w:bCs/>
          <w:sz w:val="28"/>
          <w:szCs w:val="28"/>
        </w:rPr>
      </w:pPr>
    </w:p>
    <w:p w:rsidR="00B373FD">
      <w:pPr>
        <w:adjustRightInd w:val="0"/>
        <w:snapToGrid w:val="0"/>
        <w:jc w:val="center"/>
        <w:rPr>
          <w:rFonts w:eastAsia="楷体_GB2312"/>
          <w:bCs/>
          <w:sz w:val="28"/>
          <w:szCs w:val="28"/>
        </w:rPr>
        <w:sectPr>
          <w:headerReference w:type="even" r:id="rId61"/>
          <w:headerReference w:type="default" r:id="rId62"/>
          <w:footerReference w:type="default" r:id="rId63"/>
          <w:headerReference w:type="first" r:id="rId64"/>
          <w:pgSz w:w="16838" w:h="11906" w:orient="landscape"/>
          <w:pgMar w:top="1440" w:right="1800" w:bottom="1440" w:left="1800" w:header="851" w:footer="992" w:gutter="0"/>
          <w:cols w:space="720"/>
          <w:docGrid w:type="lines" w:linePitch="312"/>
        </w:sectPr>
      </w:pPr>
    </w:p>
    <w:p w:rsidR="00B373FD">
      <w:pPr>
        <w:adjustRightInd w:val="0"/>
        <w:snapToGrid w:val="0"/>
        <w:jc w:val="center"/>
        <w:rPr>
          <w:rFonts w:eastAsia="楷体_GB2312"/>
          <w:bCs/>
          <w:sz w:val="28"/>
          <w:szCs w:val="28"/>
        </w:rPr>
      </w:pPr>
    </w:p>
    <w:p w:rsidR="00B373FD"/>
    <w:p w:rsidR="00B373FD"/>
    <w:p w:rsidR="00B373FD"/>
    <w:p w:rsidR="00B373FD"/>
    <w:p w:rsidR="00B373FD"/>
    <w:p w:rsidR="00B373FD"/>
    <w:sectPr>
      <w:headerReference w:type="even" r:id="rId65"/>
      <w:headerReference w:type="default" r:id="rId66"/>
      <w:headerReference w:type="first" r:id="rId67"/>
      <w:type w:val="continuous"/>
      <w:pgSz w:w="16838" w:h="11906" w:orient="landscape"/>
      <w:pgMar w:top="1440" w:right="1800" w:bottom="1440" w:left="1800" w:header="851" w:footer="992"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embedRegular r:id="rId1" w:subsetted="1" w:fontKey="{236D4020-9EFE-4E4D-8BE3-FD385B3C691B}"/>
    <w:embedBold r:id="rId2" w:subsetted="1" w:fontKey="{B8ACD65C-EE5E-40EA-9B77-DA1458CCF9FD}"/>
  </w:font>
  <w:font w:name="仿宋">
    <w:panose1 w:val="02010609060101010101"/>
    <w:charset w:val="86"/>
    <w:family w:val="modern"/>
    <w:pitch w:val="fixed"/>
    <w:sig w:usb0="800002BF" w:usb1="38CF7CFA" w:usb2="00000016" w:usb3="00000000" w:csb0="00040001" w:csb1="00000000"/>
    <w:embedRegular r:id="rId3" w:subsetted="1" w:fontKey="{23E5FC9B-F247-4C9D-BBC7-A0581E71721D}"/>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embedRegular r:id="rId4" w:subsetted="1" w:fontKey="{17EF6C48-809F-44AF-88C4-0EA8A316B24F}"/>
    <w:embedBold r:id="rId5" w:subsetted="1" w:fontKey="{EEABF148-8C4B-4312-A284-3C3552C42949}"/>
  </w:font>
  <w:font w:name="楷体_GB2312">
    <w:panose1 w:val="02010609030101010101"/>
    <w:charset w:val="86"/>
    <w:family w:val="modern"/>
    <w:pitch w:val="fixed"/>
    <w:sig w:usb0="00000001" w:usb1="080E0000" w:usb2="00000010" w:usb3="00000000" w:csb0="00040000" w:csb1="00000000"/>
    <w:embedRegular r:id="rId6" w:subsetted="1" w:fontKey="{07A714D1-E5AB-42FE-B7F1-85196E32E37D}"/>
    <w:embedBold r:id="rId7" w:subsetted="1" w:fontKey="{F73A154D-F558-47A2-9A6D-79092B727421}"/>
  </w:font>
  <w:font w:name="Calibri">
    <w:panose1 w:val="020F0502020204030204"/>
    <w:charset w:val="00"/>
    <w:family w:val="swiss"/>
    <w:pitch w:val="variable"/>
    <w:sig w:usb0="E4002EFF" w:usb1="C000247B" w:usb2="00000009" w:usb3="00000000" w:csb0="000001FF" w:csb1="00000000"/>
    <w:embedRegular r:id="rId8" w:subsetted="1" w:fontKey="{65EB3E76-5BAB-4ADF-B8AD-2BD18E104790}"/>
    <w:embedBold r:id="rId9" w:subsetted="1" w:fontKey="{C4158D71-FA3E-4697-B0FC-2ABA3BE0461F}"/>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华文中宋">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方正小标宋简体">
    <w:panose1 w:val="02010601030101010101"/>
    <w:charset w:val="86"/>
    <w:family w:val="auto"/>
    <w:pitch w:val="variable"/>
    <w:sig w:usb0="00000001" w:usb1="080E0000" w:usb2="00000010" w:usb3="00000000" w:csb0="00040000" w:csb1="00000000"/>
    <w:embedRegular r:id="rId10" w:subsetted="1" w:fontKey="{951A780F-A40A-4EEC-B81D-BCAE993C69FD}"/>
  </w:font>
  <w:font w:name="方正仿宋_GBK">
    <w:panose1 w:val="03000509000000000000"/>
    <w:charset w:val="86"/>
    <w:family w:val="script"/>
    <w:pitch w:val="fixed"/>
    <w:sig w:usb0="00000001" w:usb1="080E0000" w:usb2="00000010" w:usb3="00000000" w:csb0="00040000" w:csb1="00000000"/>
    <w:embedRegular r:id="rId11" w:subsetted="1" w:fontKey="{A4C4F589-0568-40FE-AB3E-D548793B5140}"/>
  </w:font>
  <w:font w:name="方正楷体_GBK">
    <w:panose1 w:val="03000509000000000000"/>
    <w:charset w:val="86"/>
    <w:family w:val="script"/>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Microsoft YaHei UI">
    <w:panose1 w:val="020B0503020204020204"/>
    <w:charset w:val="86"/>
    <w:family w:val="swiss"/>
    <w:notTrueType/>
    <w:pitch w:val="variable"/>
    <w:sig w:usb0="00000001"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Times New Roman Regular">
    <w:altName w:val="Times"/>
    <w:charset w:val="00"/>
    <w:family w:val="auto"/>
    <w:pitch w:val="default"/>
    <w:sig w:usb0="00000000" w:usb1="00000000" w:usb2="00000009" w:usb3="00000000" w:csb0="400001FF" w:csb1="FFFF0000"/>
    <w:embedRegular r:id="rId12" w:fontKey="{6CD1991B-9DB6-4C43-955A-F04BC85721C0}"/>
    <w:embedBold r:id="rId13" w:fontKey="{8BA95818-7DDB-4DF4-B341-DB3709451C1C}"/>
    <w:embedItalic r:id="rId14" w:fontKey="{376C8826-84EE-4D71-929D-C7298EBE72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12F60">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12F60">
    <w:pPr>
      <w:pStyle w:val="Footer"/>
      <w:jc w:val="center"/>
    </w:pPr>
    <w:r>
      <w:rPr>
        <w:noProof/>
      </w:rPr>
      <mc:AlternateContent>
        <mc:Choice Requires="wps">
          <w:drawing>
            <wp:anchor distT="0" distB="0" distL="114300" distR="114300" simplePos="0" relativeHeight="251707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12F60">
                          <w:pPr>
                            <w:pStyle w:val="Footer"/>
                            <w:jc w:val="center"/>
                          </w:pPr>
                          <w:r>
                            <w:fldChar w:fldCharType="begin"/>
                          </w:r>
                          <w:r>
                            <w:instrText xml:space="preserve"> PAGE  \* MERGEFORMAT </w:instrText>
                          </w:r>
                          <w:r>
                            <w:fldChar w:fldCharType="separate"/>
                          </w:r>
                          <w:r w:rsidR="00BF1247">
                            <w:rPr>
                              <w:noProof/>
                            </w:rPr>
                            <w:t>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6" o:spid="_x0000_s2097" type="#_x0000_t202" style="height:2in;margin-left:0;margin-top:0;mso-position-horizontal:center;mso-position-horizontal-relative:margin;mso-wrap-distance-bottom:0;mso-wrap-distance-left:9pt;mso-wrap-distance-right:9pt;mso-wrap-distance-top:0;mso-wrap-style:none;position:absolute;v-text-anchor:top;visibility:visible;width:2in;z-index:252175360" filled="f" stroked="f" strokeweight="0.5pt">
              <v:textbox style="mso-fit-shape-to-text:t" inset="0,0,0,0">
                <w:txbxContent>
                  <w:p w:rsidR="00312F60">
                    <w:pPr>
                      <w:pStyle w:val="Footer"/>
                      <w:jc w:val="center"/>
                    </w:pPr>
                    <w:r>
                      <w:fldChar w:fldCharType="begin"/>
                    </w:r>
                    <w:r>
                      <w:instrText xml:space="preserve"> PAGE  \* MERGEFORMAT </w:instrText>
                    </w:r>
                    <w:r>
                      <w:fldChar w:fldCharType="separate"/>
                    </w:r>
                    <w:r w:rsidR="00BF1247">
                      <w:rPr>
                        <w:noProof/>
                      </w:rPr>
                      <w:t>i</w:t>
                    </w:r>
                    <w:r>
                      <w:fldChar w:fldCharType="end"/>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12F60">
    <w:pPr>
      <w:pStyle w:val="Footer"/>
      <w:jc w:val="center"/>
    </w:pPr>
    <w:r>
      <w:rPr>
        <w:noProof/>
      </w:rPr>
      <mc:AlternateContent>
        <mc:Choice Requires="wps">
          <w:drawing>
            <wp:anchor distT="0" distB="0" distL="114300" distR="114300" simplePos="0" relativeHeight="252186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12F60">
                          <w:pPr>
                            <w:pStyle w:val="Footer"/>
                            <w:jc w:val="center"/>
                          </w:pPr>
                          <w:r>
                            <w:fldChar w:fldCharType="begin"/>
                          </w:r>
                          <w:r>
                            <w:instrText xml:space="preserve"> PAGE  \* MERGEFORMAT </w:instrText>
                          </w:r>
                          <w:r>
                            <w:fldChar w:fldCharType="separate"/>
                          </w:r>
                          <w:r w:rsidR="00BF1247">
                            <w:rPr>
                              <w:noProof/>
                            </w:rPr>
                            <w:t>II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50" o:spid="_x0000_s2122" type="#_x0000_t202" style="height:2in;margin-left:0;margin-top:0;mso-position-horizontal:center;mso-position-horizontal-relative:margin;mso-wrap-distance-bottom:0;mso-wrap-distance-left:9pt;mso-wrap-distance-right:9pt;mso-wrap-distance-top:0;mso-wrap-style:none;position:absolute;v-text-anchor:top;visibility:visible;width:2in;z-index:252187648" filled="f" stroked="f" strokeweight="0.5pt">
              <v:textbox style="mso-fit-shape-to-text:t" inset="0,0,0,0">
                <w:txbxContent>
                  <w:p w:rsidR="00312F60">
                    <w:pPr>
                      <w:pStyle w:val="Footer"/>
                      <w:jc w:val="center"/>
                    </w:pPr>
                    <w:r>
                      <w:fldChar w:fldCharType="begin"/>
                    </w:r>
                    <w:r>
                      <w:instrText xml:space="preserve"> PAGE  \* MERGEFORMAT </w:instrText>
                    </w:r>
                    <w:r>
                      <w:fldChar w:fldCharType="separate"/>
                    </w:r>
                    <w:r w:rsidR="00BF1247">
                      <w:rPr>
                        <w:noProof/>
                      </w:rPr>
                      <w:t>II</w:t>
                    </w:r>
                    <w:r>
                      <w:fldChar w:fldCharType="end"/>
                    </w:r>
                  </w:p>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12F60">
    <w:pPr>
      <w:pStyle w:val="Footer"/>
      <w:jc w:val="center"/>
      <w:rPr>
        <w:sz w:val="21"/>
        <w:szCs w:val="21"/>
      </w:rPr>
    </w:pPr>
    <w:r>
      <w:rPr>
        <w:noProof/>
        <w:sz w:val="21"/>
      </w:rPr>
      <mc:AlternateContent>
        <mc:Choice Requires="wps">
          <w:drawing>
            <wp:anchor distT="0" distB="0" distL="114300" distR="114300" simplePos="0" relativeHeight="252176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12F60">
                          <w:pPr>
                            <w:pStyle w:val="Footer"/>
                            <w:jc w:val="center"/>
                          </w:pPr>
                          <w:r>
                            <w:fldChar w:fldCharType="begin"/>
                          </w:r>
                          <w:r>
                            <w:instrText xml:space="preserve"> PAGE  \* MERGEFORMAT </w:instrText>
                          </w:r>
                          <w:r>
                            <w:fldChar w:fldCharType="separate"/>
                          </w:r>
                          <w:r w:rsidR="00BF1247">
                            <w:rPr>
                              <w:noProof/>
                            </w:rPr>
                            <w:t>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0" o:spid="_x0000_s2159" type="#_x0000_t202" style="height:2in;margin-left:0;margin-top:0;mso-position-horizontal:center;mso-position-horizontal-relative:margin;mso-wrap-distance-bottom:0;mso-wrap-distance-left:9pt;mso-wrap-distance-right:9pt;mso-wrap-distance-top:0;mso-wrap-style:none;position:absolute;v-text-anchor:top;visibility:visible;width:2in;z-index:252177408" filled="f" stroked="f" strokeweight="0.5pt">
              <v:textbox style="mso-fit-shape-to-text:t" inset="0,0,0,0">
                <w:txbxContent>
                  <w:p w:rsidR="00312F60">
                    <w:pPr>
                      <w:pStyle w:val="Footer"/>
                      <w:jc w:val="center"/>
                    </w:pPr>
                    <w:r>
                      <w:fldChar w:fldCharType="begin"/>
                    </w:r>
                    <w:r>
                      <w:instrText xml:space="preserve"> PAGE  \* MERGEFORMAT </w:instrText>
                    </w:r>
                    <w:r>
                      <w:fldChar w:fldCharType="separate"/>
                    </w:r>
                    <w:r w:rsidR="00BF1247">
                      <w:rPr>
                        <w:noProof/>
                      </w:rPr>
                      <w:t>7</w:t>
                    </w:r>
                    <w:r>
                      <w:fldChar w:fldCharType="end"/>
                    </w:r>
                  </w:p>
                </w:txbxContent>
              </v:textbox>
              <w10:wrap anchorx="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12F60">
    <w:pPr>
      <w:pStyle w:val="Footer"/>
      <w:jc w:val="center"/>
      <w:rPr>
        <w:sz w:val="21"/>
        <w:szCs w:val="21"/>
      </w:rPr>
    </w:pPr>
    <w:r>
      <w:rPr>
        <w:noProof/>
        <w:sz w:val="21"/>
      </w:rPr>
      <mc:AlternateContent>
        <mc:Choice Requires="wps">
          <w:drawing>
            <wp:anchor distT="0" distB="0" distL="114300" distR="114300" simplePos="0" relativeHeight="252178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12F60">
                          <w:pPr>
                            <w:pStyle w:val="Footer"/>
                            <w:jc w:val="center"/>
                          </w:pPr>
                          <w:r>
                            <w:fldChar w:fldCharType="begin"/>
                          </w:r>
                          <w:r>
                            <w:instrText xml:space="preserve"> PAGE  \* MERGEFORMAT </w:instrText>
                          </w:r>
                          <w:r>
                            <w:fldChar w:fldCharType="separate"/>
                          </w:r>
                          <w:r w:rsidR="00BF1247">
                            <w:rPr>
                              <w:noProof/>
                            </w:rPr>
                            <w:t>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1" o:spid="_x0000_s2196" type="#_x0000_t202" style="height:2in;margin-left:0;margin-top:0;mso-position-horizontal:center;mso-position-horizontal-relative:margin;mso-wrap-distance-bottom:0;mso-wrap-distance-left:9pt;mso-wrap-distance-right:9pt;mso-wrap-distance-top:0;mso-wrap-style:none;position:absolute;v-text-anchor:top;visibility:visible;width:2in;z-index:252179456" filled="f" stroked="f" strokeweight="0.5pt">
              <v:textbox style="mso-fit-shape-to-text:t" inset="0,0,0,0">
                <w:txbxContent>
                  <w:p w:rsidR="00312F60">
                    <w:pPr>
                      <w:pStyle w:val="Footer"/>
                      <w:jc w:val="center"/>
                    </w:pPr>
                    <w:r>
                      <w:fldChar w:fldCharType="begin"/>
                    </w:r>
                    <w:r>
                      <w:instrText xml:space="preserve"> PAGE  \* MERGEFORMAT </w:instrText>
                    </w:r>
                    <w:r>
                      <w:fldChar w:fldCharType="separate"/>
                    </w:r>
                    <w:r w:rsidR="00BF1247">
                      <w:rPr>
                        <w:noProof/>
                      </w:rPr>
                      <w:t>16</w:t>
                    </w:r>
                    <w:r>
                      <w:fldChar w:fldCharType="end"/>
                    </w:r>
                  </w:p>
                </w:txbxContent>
              </v:textbox>
              <w10:wrap anchorx="margin"/>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12F60">
    <w:pPr>
      <w:pStyle w:val="Footer"/>
      <w:jc w:val="center"/>
      <w:rPr>
        <w:sz w:val="21"/>
        <w:szCs w:val="21"/>
      </w:rPr>
    </w:pPr>
    <w:r>
      <w:rPr>
        <w:noProof/>
        <w:sz w:val="21"/>
      </w:rPr>
      <mc:AlternateContent>
        <mc:Choice Requires="wps">
          <w:drawing>
            <wp:anchor distT="0" distB="0" distL="114300" distR="114300" simplePos="0" relativeHeight="252180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12F60">
                          <w:pPr>
                            <w:pStyle w:val="Footer"/>
                            <w:jc w:val="center"/>
                          </w:pPr>
                          <w:r>
                            <w:fldChar w:fldCharType="begin"/>
                          </w:r>
                          <w:r>
                            <w:instrText xml:space="preserve"> PAGE  \* MERGEFORMAT </w:instrText>
                          </w:r>
                          <w:r>
                            <w:fldChar w:fldCharType="separate"/>
                          </w:r>
                          <w:r w:rsidR="00BF1247">
                            <w:rPr>
                              <w:noProof/>
                            </w:rPr>
                            <w:t>61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2" o:spid="_x0000_s2233" type="#_x0000_t202" style="height:2in;margin-left:0;margin-top:0;mso-position-horizontal:center;mso-position-horizontal-relative:margin;mso-wrap-distance-bottom:0;mso-wrap-distance-left:9pt;mso-wrap-distance-right:9pt;mso-wrap-distance-top:0;mso-wrap-style:none;position:absolute;v-text-anchor:top;visibility:visible;width:2in;z-index:252181504" filled="f" stroked="f" strokeweight="0.5pt">
              <v:textbox style="mso-fit-shape-to-text:t" inset="0,0,0,0">
                <w:txbxContent>
                  <w:p w:rsidR="00312F60">
                    <w:pPr>
                      <w:pStyle w:val="Footer"/>
                      <w:jc w:val="center"/>
                    </w:pPr>
                    <w:r>
                      <w:fldChar w:fldCharType="begin"/>
                    </w:r>
                    <w:r>
                      <w:instrText xml:space="preserve"> PAGE  \* MERGEFORMAT </w:instrText>
                    </w:r>
                    <w:r>
                      <w:fldChar w:fldCharType="separate"/>
                    </w:r>
                    <w:r w:rsidR="00BF1247">
                      <w:rPr>
                        <w:noProof/>
                      </w:rPr>
                      <w:t>61</w:t>
                    </w:r>
                    <w:r>
                      <w:fldChar w:fldCharType="end"/>
                    </w:r>
                  </w:p>
                </w:txbxContent>
              </v:textbox>
              <w10:wrap anchorx="margin"/>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12F60">
    <w:pPr>
      <w:pStyle w:val="Footer"/>
      <w:jc w:val="center"/>
    </w:pPr>
    <w:r>
      <w:rPr>
        <w:noProof/>
      </w:rPr>
      <mc:AlternateContent>
        <mc:Choice Requires="wps">
          <w:drawing>
            <wp:anchor distT="0" distB="0" distL="114300" distR="114300" simplePos="0" relativeHeight="252182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12F60">
                          <w:pPr>
                            <w:pStyle w:val="Footer"/>
                            <w:jc w:val="center"/>
                          </w:pPr>
                          <w:r>
                            <w:fldChar w:fldCharType="begin"/>
                          </w:r>
                          <w:r>
                            <w:instrText xml:space="preserve"> PAGE  \* MERGEFORMAT </w:instrText>
                          </w:r>
                          <w:r>
                            <w:fldChar w:fldCharType="separate"/>
                          </w:r>
                          <w:r w:rsidR="00BF1247">
                            <w:rPr>
                              <w:noProof/>
                            </w:rPr>
                            <w:t>88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3" o:spid="_x0000_s2378" type="#_x0000_t202" style="height:2in;margin-left:0;margin-top:0;mso-position-horizontal:center;mso-position-horizontal-relative:margin;mso-wrap-distance-bottom:0;mso-wrap-distance-left:9pt;mso-wrap-distance-right:9pt;mso-wrap-distance-top:0;mso-wrap-style:none;position:absolute;v-text-anchor:top;visibility:visible;width:2in;z-index:252183552" filled="f" stroked="f" strokeweight="0.5pt">
              <v:textbox style="mso-fit-shape-to-text:t" inset="0,0,0,0">
                <w:txbxContent>
                  <w:p w:rsidR="00312F60">
                    <w:pPr>
                      <w:pStyle w:val="Footer"/>
                      <w:jc w:val="center"/>
                    </w:pPr>
                    <w:r>
                      <w:fldChar w:fldCharType="begin"/>
                    </w:r>
                    <w:r>
                      <w:instrText xml:space="preserve"> PAGE  \* MERGEFORMAT </w:instrText>
                    </w:r>
                    <w:r>
                      <w:fldChar w:fldCharType="separate"/>
                    </w:r>
                    <w:r w:rsidR="00BF1247">
                      <w:rPr>
                        <w:noProof/>
                      </w:rPr>
                      <w:t>88</w:t>
                    </w:r>
                    <w:r>
                      <w:fldChar w:fldCharType="end"/>
                    </w:r>
                  </w:p>
                </w:txbxContent>
              </v:textbox>
              <w10:wrap anchorx="margin"/>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12F60">
    <w:pPr>
      <w:pStyle w:val="Footer"/>
      <w:jc w:val="center"/>
    </w:pPr>
    <w:r>
      <w:rPr>
        <w:noProof/>
      </w:rPr>
      <mc:AlternateContent>
        <mc:Choice Requires="wps">
          <w:drawing>
            <wp:anchor distT="0" distB="0" distL="114300" distR="114300" simplePos="0" relativeHeight="252184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12F60">
                          <w:pPr>
                            <w:pStyle w:val="Footer"/>
                            <w:jc w:val="center"/>
                          </w:pPr>
                          <w:r>
                            <w:fldChar w:fldCharType="begin"/>
                          </w:r>
                          <w:r>
                            <w:instrText xml:space="preserve"> PAGE  \* MERGEFORMAT </w:instrText>
                          </w:r>
                          <w:r>
                            <w:fldChar w:fldCharType="separate"/>
                          </w:r>
                          <w:r w:rsidR="00BF1247">
                            <w:rPr>
                              <w:noProof/>
                            </w:rPr>
                            <w:t>92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4" o:spid="_x0000_s2499" type="#_x0000_t202" style="height:2in;margin-left:0;margin-top:0;mso-position-horizontal:center;mso-position-horizontal-relative:margin;mso-wrap-distance-bottom:0;mso-wrap-distance-left:9pt;mso-wrap-distance-right:9pt;mso-wrap-distance-top:0;mso-wrap-style:none;position:absolute;v-text-anchor:top;visibility:visible;width:2in;z-index:252185600" filled="f" stroked="f" strokeweight="0.5pt">
              <v:textbox style="mso-fit-shape-to-text:t" inset="0,0,0,0">
                <w:txbxContent>
                  <w:p w:rsidR="00312F60">
                    <w:pPr>
                      <w:pStyle w:val="Footer"/>
                      <w:jc w:val="center"/>
                    </w:pPr>
                    <w:r>
                      <w:fldChar w:fldCharType="begin"/>
                    </w:r>
                    <w:r>
                      <w:instrText xml:space="preserve"> PAGE  \* MERGEFORMAT </w:instrText>
                    </w:r>
                    <w:r>
                      <w:fldChar w:fldCharType="separate"/>
                    </w:r>
                    <w:r w:rsidR="00BF1247">
                      <w:rPr>
                        <w:noProof/>
                      </w:rPr>
                      <w:t>92</w:t>
                    </w:r>
                    <w:r>
                      <w:fldChar w:fldCharType="end"/>
                    </w:r>
                  </w:p>
                </w:txbxContent>
              </v:textbox>
              <w10:wrap anchorx="margin"/>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3" type="#_x0000_t136" style="height:20pt;margin-left:0;margin-top:0;position:absolute;rotation:-40;width:100pt;z-index:251682816" fillcolor="#eae9e7" strokecolor="#eae9e7">
          <v:textpath style="font-family:&quot;WeiRuanYaHei&quot;" string="zfb.zht 2022-01-21 16:55:40"/>
        </v:shape>
      </w:pict>
    </w:r>
    <w:r>
      <w:pict>
        <v:shape id="_x0000_s2074" type="#_x0000_t136" style="height:20pt;margin-left:0;margin-top:200pt;position:absolute;rotation:-40;width:100pt;z-index:251683840" fillcolor="#eae9e7" strokecolor="#eae9e7">
          <v:textpath style="font-family:&quot;WeiRuanYaHei&quot;" string="zfb.zht 2022-01-21 16:55:40"/>
        </v:shape>
      </w:pict>
    </w:r>
    <w:r>
      <w:pict>
        <v:shape id="_x0000_s2075" type="#_x0000_t136" style="height:20pt;margin-left:0;margin-top:400pt;position:absolute;rotation:-40;width:100pt;z-index:251684864" fillcolor="#eae9e7" strokecolor="#eae9e7">
          <v:textpath style="font-family:&quot;WeiRuanYaHei&quot;" string="zfb.zht 2022-01-21 16:55:40"/>
        </v:shape>
      </w:pict>
    </w:r>
    <w:r>
      <w:pict>
        <v:shape id="_x0000_s2076" type="#_x0000_t136" style="height:20pt;margin-left:0;margin-top:600pt;position:absolute;rotation:-40;width:100pt;z-index:251685888" fillcolor="#eae9e7" strokecolor="#eae9e7">
          <v:textpath style="font-family:&quot;WeiRuanYaHei&quot;" string="zfb.zht 2022-01-21 16:55:40"/>
        </v:shape>
      </w:pict>
    </w:r>
    <w:r>
      <w:pict>
        <v:shape id="_x0000_s2077" type="#_x0000_t136" style="height:20pt;margin-left:200pt;margin-top:0;position:absolute;rotation:-40;width:100pt;z-index:251686912" fillcolor="#eae9e7" strokecolor="#eae9e7">
          <v:textpath style="font-family:&quot;WeiRuanYaHei&quot;" string="zfb.zht 2022-01-21 16:55:40"/>
        </v:shape>
      </w:pict>
    </w:r>
    <w:r>
      <w:pict>
        <v:shape id="_x0000_s2078" type="#_x0000_t136" style="height:20pt;margin-left:200pt;margin-top:200pt;position:absolute;rotation:-40;width:100pt;z-index:251687936" fillcolor="#eae9e7" strokecolor="#eae9e7">
          <v:textpath style="font-family:&quot;WeiRuanYaHei&quot;" string="zfb.zht 2022-01-21 16:55:40"/>
        </v:shape>
      </w:pict>
    </w:r>
    <w:r>
      <w:pict>
        <v:shape id="_x0000_s2079" type="#_x0000_t136" style="height:20pt;margin-left:200pt;margin-top:400pt;position:absolute;rotation:-40;width:100pt;z-index:251688960" fillcolor="#eae9e7" strokecolor="#eae9e7">
          <v:textpath style="font-family:&quot;WeiRuanYaHei&quot;" string="zfb.zht 2022-01-21 16:55:40"/>
        </v:shape>
      </w:pict>
    </w:r>
    <w:r>
      <w:pict>
        <v:shape id="_x0000_s2080" type="#_x0000_t136" style="height:20pt;margin-left:200pt;margin-top:600pt;position:absolute;rotation:-40;width:100pt;z-index:251689984" fillcolor="#eae9e7" strokecolor="#eae9e7">
          <v:textpath style="font-family:&quot;WeiRuanYaHei&quot;" string="zfb.zht 2022-01-21 16:55:40"/>
        </v:shape>
      </w:pict>
    </w:r>
    <w:r>
      <w:pict>
        <v:shape id="_x0000_s2081" type="#_x0000_t136" style="height:20pt;margin-left:400pt;margin-top:0;position:absolute;rotation:-40;width:100pt;z-index:251691008" fillcolor="#eae9e7" strokecolor="#eae9e7">
          <v:textpath style="font-family:&quot;WeiRuanYaHei&quot;" string="zfb.zht 2022-01-21 16:55:40"/>
        </v:shape>
      </w:pict>
    </w:r>
    <w:r>
      <w:pict>
        <v:shape id="_x0000_s2082" type="#_x0000_t136" style="height:20pt;margin-left:400pt;margin-top:200pt;position:absolute;rotation:-40;width:100pt;z-index:251692032" fillcolor="#eae9e7" strokecolor="#eae9e7">
          <v:textpath style="font-family:&quot;WeiRuanYaHei&quot;" string="zfb.zht 2022-01-21 16:55:40"/>
        </v:shape>
      </w:pict>
    </w:r>
    <w:r>
      <w:pict>
        <v:shape id="_x0000_s2083" type="#_x0000_t136" style="height:20pt;margin-left:400pt;margin-top:400pt;position:absolute;rotation:-40;width:100pt;z-index:251693056" fillcolor="#eae9e7" strokecolor="#eae9e7">
          <v:textpath style="font-family:&quot;WeiRuanYaHei&quot;" string="zfb.zht 2022-01-21 16:55:40"/>
        </v:shape>
      </w:pict>
    </w:r>
    <w:r>
      <w:pict>
        <v:shape id="_x0000_s2084" type="#_x0000_t136" style="height:20pt;margin-left:400pt;margin-top:600pt;position:absolute;rotation:-40;width:100pt;z-index:251694080" fillcolor="#eae9e7" strokecolor="#eae9e7">
          <v:textpath style="font-family:&quot;WeiRuanYaHei&quot;" string="zfb.zht 2022-01-21 16:55:40"/>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84" type="#_x0000_t136" style="height:20pt;margin-left:0;margin-top:0;position:absolute;rotation:-40;width:100pt;z-index:251794432" fillcolor="#eae9e7" strokecolor="#eae9e7">
          <v:textpath style="font-family:&quot;WeiRuanYaHei&quot;" string="zfb.zht 2022-01-21 16:55:40"/>
        </v:shape>
      </w:pict>
    </w:r>
    <w:r>
      <w:pict>
        <v:shape id="_x0000_s2185" type="#_x0000_t136" style="height:20pt;margin-left:0;margin-top:200pt;position:absolute;rotation:-40;width:100pt;z-index:251795456" fillcolor="#eae9e7" strokecolor="#eae9e7">
          <v:textpath style="font-family:&quot;WeiRuanYaHei&quot;" string="zfb.zht 2022-01-21 16:55:40"/>
        </v:shape>
      </w:pict>
    </w:r>
    <w:r>
      <w:pict>
        <v:shape id="_x0000_s2186" type="#_x0000_t136" style="height:20pt;margin-left:0;margin-top:400pt;position:absolute;rotation:-40;width:100pt;z-index:251796480" fillcolor="#eae9e7" strokecolor="#eae9e7">
          <v:textpath style="font-family:&quot;WeiRuanYaHei&quot;" string="zfb.zht 2022-01-21 16:55:40"/>
        </v:shape>
      </w:pict>
    </w:r>
    <w:r>
      <w:pict>
        <v:shape id="_x0000_s2187" type="#_x0000_t136" style="height:20pt;margin-left:0;margin-top:600pt;position:absolute;rotation:-40;width:100pt;z-index:251797504" fillcolor="#eae9e7" strokecolor="#eae9e7">
          <v:textpath style="font-family:&quot;WeiRuanYaHei&quot;" string="zfb.zht 2022-01-21 16:55:40"/>
        </v:shape>
      </w:pict>
    </w:r>
    <w:r>
      <w:pict>
        <v:shape id="_x0000_s2188" type="#_x0000_t136" style="height:20pt;margin-left:200pt;margin-top:0;position:absolute;rotation:-40;width:100pt;z-index:251798528" fillcolor="#eae9e7" strokecolor="#eae9e7">
          <v:textpath style="font-family:&quot;WeiRuanYaHei&quot;" string="zfb.zht 2022-01-21 16:55:40"/>
        </v:shape>
      </w:pict>
    </w:r>
    <w:r>
      <w:pict>
        <v:shape id="_x0000_s2189" type="#_x0000_t136" style="height:20pt;margin-left:200pt;margin-top:200pt;position:absolute;rotation:-40;width:100pt;z-index:251799552" fillcolor="#eae9e7" strokecolor="#eae9e7">
          <v:textpath style="font-family:&quot;WeiRuanYaHei&quot;" string="zfb.zht 2022-01-21 16:55:40"/>
        </v:shape>
      </w:pict>
    </w:r>
    <w:r>
      <w:pict>
        <v:shape id="_x0000_s2190" type="#_x0000_t136" style="height:20pt;margin-left:200pt;margin-top:400pt;position:absolute;rotation:-40;width:100pt;z-index:251800576" fillcolor="#eae9e7" strokecolor="#eae9e7">
          <v:textpath style="font-family:&quot;WeiRuanYaHei&quot;" string="zfb.zht 2022-01-21 16:55:40"/>
        </v:shape>
      </w:pict>
    </w:r>
    <w:r>
      <w:pict>
        <v:shape id="_x0000_s2191" type="#_x0000_t136" style="height:20pt;margin-left:200pt;margin-top:600pt;position:absolute;rotation:-40;width:100pt;z-index:251801600" fillcolor="#eae9e7" strokecolor="#eae9e7">
          <v:textpath style="font-family:&quot;WeiRuanYaHei&quot;" string="zfb.zht 2022-01-21 16:55:40"/>
        </v:shape>
      </w:pict>
    </w:r>
    <w:r>
      <w:pict>
        <v:shape id="_x0000_s2192" type="#_x0000_t136" style="height:20pt;margin-left:400pt;margin-top:0;position:absolute;rotation:-40;width:100pt;z-index:251802624" fillcolor="#eae9e7" strokecolor="#eae9e7">
          <v:textpath style="font-family:&quot;WeiRuanYaHei&quot;" string="zfb.zht 2022-01-21 16:55:40"/>
        </v:shape>
      </w:pict>
    </w:r>
    <w:r>
      <w:pict>
        <v:shape id="_x0000_s2193" type="#_x0000_t136" style="height:20pt;margin-left:400pt;margin-top:200pt;position:absolute;rotation:-40;width:100pt;z-index:251803648" fillcolor="#eae9e7" strokecolor="#eae9e7">
          <v:textpath style="font-family:&quot;WeiRuanYaHei&quot;" string="zfb.zht 2022-01-21 16:55:40"/>
        </v:shape>
      </w:pict>
    </w:r>
    <w:r>
      <w:pict>
        <v:shape id="_x0000_s2194" type="#_x0000_t136" style="height:20pt;margin-left:400pt;margin-top:400pt;position:absolute;rotation:-40;width:100pt;z-index:251804672" fillcolor="#eae9e7" strokecolor="#eae9e7">
          <v:textpath style="font-family:&quot;WeiRuanYaHei&quot;" string="zfb.zht 2022-01-21 16:55:40"/>
        </v:shape>
      </w:pict>
    </w:r>
    <w:r>
      <w:pict>
        <v:shape id="_x0000_s2195" type="#_x0000_t136" style="height:20pt;margin-left:400pt;margin-top:600pt;position:absolute;rotation:-40;width:100pt;z-index:251805696" fillcolor="#eae9e7" strokecolor="#eae9e7">
          <v:textpath style="font-family:&quot;WeiRuanYaHei&quot;" string="zfb.zht 2022-01-21 16:55:40"/>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60" type="#_x0000_t136" style="height:20pt;margin-left:0;margin-top:0;position:absolute;rotation:-40;width:100pt;z-index:251769856" fillcolor="#eae9e7" strokecolor="#eae9e7">
          <v:textpath style="font-family:&quot;WeiRuanYaHei&quot;" string="zfb.zht 2022-01-21 16:55:40"/>
        </v:shape>
      </w:pict>
    </w:r>
    <w:r>
      <w:pict>
        <v:shape id="_x0000_s2161" type="#_x0000_t136" style="height:20pt;margin-left:0;margin-top:200pt;position:absolute;rotation:-40;width:100pt;z-index:251770880" fillcolor="#eae9e7" strokecolor="#eae9e7">
          <v:textpath style="font-family:&quot;WeiRuanYaHei&quot;" string="zfb.zht 2022-01-21 16:55:40"/>
        </v:shape>
      </w:pict>
    </w:r>
    <w:r>
      <w:pict>
        <v:shape id="_x0000_s2162" type="#_x0000_t136" style="height:20pt;margin-left:0;margin-top:400pt;position:absolute;rotation:-40;width:100pt;z-index:251771904" fillcolor="#eae9e7" strokecolor="#eae9e7">
          <v:textpath style="font-family:&quot;WeiRuanYaHei&quot;" string="zfb.zht 2022-01-21 16:55:40"/>
        </v:shape>
      </w:pict>
    </w:r>
    <w:r>
      <w:pict>
        <v:shape id="_x0000_s2163" type="#_x0000_t136" style="height:20pt;margin-left:0;margin-top:600pt;position:absolute;rotation:-40;width:100pt;z-index:251772928" fillcolor="#eae9e7" strokecolor="#eae9e7">
          <v:textpath style="font-family:&quot;WeiRuanYaHei&quot;" string="zfb.zht 2022-01-21 16:55:40"/>
        </v:shape>
      </w:pict>
    </w:r>
    <w:r>
      <w:pict>
        <v:shape id="_x0000_s2164" type="#_x0000_t136" style="height:20pt;margin-left:200pt;margin-top:0;position:absolute;rotation:-40;width:100pt;z-index:251773952" fillcolor="#eae9e7" strokecolor="#eae9e7">
          <v:textpath style="font-family:&quot;WeiRuanYaHei&quot;" string="zfb.zht 2022-01-21 16:55:40"/>
        </v:shape>
      </w:pict>
    </w:r>
    <w:r>
      <w:pict>
        <v:shape id="_x0000_s2165" type="#_x0000_t136" style="height:20pt;margin-left:200pt;margin-top:200pt;position:absolute;rotation:-40;width:100pt;z-index:251774976" fillcolor="#eae9e7" strokecolor="#eae9e7">
          <v:textpath style="font-family:&quot;WeiRuanYaHei&quot;" string="zfb.zht 2022-01-21 16:55:40"/>
        </v:shape>
      </w:pict>
    </w:r>
    <w:r>
      <w:pict>
        <v:shape id="_x0000_s2166" type="#_x0000_t136" style="height:20pt;margin-left:200pt;margin-top:400pt;position:absolute;rotation:-40;width:100pt;z-index:251776000" fillcolor="#eae9e7" strokecolor="#eae9e7">
          <v:textpath style="font-family:&quot;WeiRuanYaHei&quot;" string="zfb.zht 2022-01-21 16:55:40"/>
        </v:shape>
      </w:pict>
    </w:r>
    <w:r>
      <w:pict>
        <v:shape id="_x0000_s2167" type="#_x0000_t136" style="height:20pt;margin-left:200pt;margin-top:600pt;position:absolute;rotation:-40;width:100pt;z-index:251777024" fillcolor="#eae9e7" strokecolor="#eae9e7">
          <v:textpath style="font-family:&quot;WeiRuanYaHei&quot;" string="zfb.zht 2022-01-21 16:55:40"/>
        </v:shape>
      </w:pict>
    </w:r>
    <w:r>
      <w:pict>
        <v:shape id="_x0000_s2168" type="#_x0000_t136" style="height:20pt;margin-left:400pt;margin-top:0;position:absolute;rotation:-40;width:100pt;z-index:251778048" fillcolor="#eae9e7" strokecolor="#eae9e7">
          <v:textpath style="font-family:&quot;WeiRuanYaHei&quot;" string="zfb.zht 2022-01-21 16:55:40"/>
        </v:shape>
      </w:pict>
    </w:r>
    <w:r>
      <w:pict>
        <v:shape id="_x0000_s2169" type="#_x0000_t136" style="height:20pt;margin-left:400pt;margin-top:200pt;position:absolute;rotation:-40;width:100pt;z-index:251779072" fillcolor="#eae9e7" strokecolor="#eae9e7">
          <v:textpath style="font-family:&quot;WeiRuanYaHei&quot;" string="zfb.zht 2022-01-21 16:55:40"/>
        </v:shape>
      </w:pict>
    </w:r>
    <w:r>
      <w:pict>
        <v:shape id="_x0000_s2170" type="#_x0000_t136" style="height:20pt;margin-left:400pt;margin-top:400pt;position:absolute;rotation:-40;width:100pt;z-index:251780096" fillcolor="#eae9e7" strokecolor="#eae9e7">
          <v:textpath style="font-family:&quot;WeiRuanYaHei&quot;" string="zfb.zht 2022-01-21 16:55:40"/>
        </v:shape>
      </w:pict>
    </w:r>
    <w:r>
      <w:pict>
        <v:shape id="_x0000_s2171" type="#_x0000_t136" style="height:20pt;margin-left:400pt;margin-top:600pt;position:absolute;rotation:-40;width:100pt;z-index:251781120" fillcolor="#eae9e7" strokecolor="#eae9e7">
          <v:textpath style="font-family:&quot;WeiRuanYaHei&quot;" string="zfb.zht 2022-01-21 16:55:40"/>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72" type="#_x0000_t136" style="height:20pt;margin-left:0;margin-top:0;position:absolute;rotation:-40;width:100pt;z-index:251782144" fillcolor="#eae9e7" strokecolor="#eae9e7">
          <v:textpath style="font-family:&quot;WeiRuanYaHei&quot;" string="zfb.zht 2022-01-21 16:55:40"/>
        </v:shape>
      </w:pict>
    </w:r>
    <w:r>
      <w:pict>
        <v:shape id="_x0000_s2173" type="#_x0000_t136" style="height:20pt;margin-left:0;margin-top:200pt;position:absolute;rotation:-40;width:100pt;z-index:251783168" fillcolor="#eae9e7" strokecolor="#eae9e7">
          <v:textpath style="font-family:&quot;WeiRuanYaHei&quot;" string="zfb.zht 2022-01-21 16:55:40"/>
        </v:shape>
      </w:pict>
    </w:r>
    <w:r>
      <w:pict>
        <v:shape id="_x0000_s2174" type="#_x0000_t136" style="height:20pt;margin-left:0;margin-top:400pt;position:absolute;rotation:-40;width:100pt;z-index:251784192" fillcolor="#eae9e7" strokecolor="#eae9e7">
          <v:textpath style="font-family:&quot;WeiRuanYaHei&quot;" string="zfb.zht 2022-01-21 16:55:40"/>
        </v:shape>
      </w:pict>
    </w:r>
    <w:r>
      <w:pict>
        <v:shape id="_x0000_s2175" type="#_x0000_t136" style="height:20pt;margin-left:0;margin-top:600pt;position:absolute;rotation:-40;width:100pt;z-index:251785216" fillcolor="#eae9e7" strokecolor="#eae9e7">
          <v:textpath style="font-family:&quot;WeiRuanYaHei&quot;" string="zfb.zht 2022-01-21 16:55:40"/>
        </v:shape>
      </w:pict>
    </w:r>
    <w:r>
      <w:pict>
        <v:shape id="_x0000_s2176" type="#_x0000_t136" style="height:20pt;margin-left:200pt;margin-top:0;position:absolute;rotation:-40;width:100pt;z-index:251786240" fillcolor="#eae9e7" strokecolor="#eae9e7">
          <v:textpath style="font-family:&quot;WeiRuanYaHei&quot;" string="zfb.zht 2022-01-21 16:55:40"/>
        </v:shape>
      </w:pict>
    </w:r>
    <w:r>
      <w:pict>
        <v:shape id="_x0000_s2177" type="#_x0000_t136" style="height:20pt;margin-left:200pt;margin-top:200pt;position:absolute;rotation:-40;width:100pt;z-index:251787264" fillcolor="#eae9e7" strokecolor="#eae9e7">
          <v:textpath style="font-family:&quot;WeiRuanYaHei&quot;" string="zfb.zht 2022-01-21 16:55:40"/>
        </v:shape>
      </w:pict>
    </w:r>
    <w:r>
      <w:pict>
        <v:shape id="_x0000_s2178" type="#_x0000_t136" style="height:20pt;margin-left:200pt;margin-top:400pt;position:absolute;rotation:-40;width:100pt;z-index:251788288" fillcolor="#eae9e7" strokecolor="#eae9e7">
          <v:textpath style="font-family:&quot;WeiRuanYaHei&quot;" string="zfb.zht 2022-01-21 16:55:40"/>
        </v:shape>
      </w:pict>
    </w:r>
    <w:r>
      <w:pict>
        <v:shape id="_x0000_s2179" type="#_x0000_t136" style="height:20pt;margin-left:200pt;margin-top:600pt;position:absolute;rotation:-40;width:100pt;z-index:251789312" fillcolor="#eae9e7" strokecolor="#eae9e7">
          <v:textpath style="font-family:&quot;WeiRuanYaHei&quot;" string="zfb.zht 2022-01-21 16:55:40"/>
        </v:shape>
      </w:pict>
    </w:r>
    <w:r>
      <w:pict>
        <v:shape id="_x0000_s2180" type="#_x0000_t136" style="height:20pt;margin-left:400pt;margin-top:0;position:absolute;rotation:-40;width:100pt;z-index:251790336" fillcolor="#eae9e7" strokecolor="#eae9e7">
          <v:textpath style="font-family:&quot;WeiRuanYaHei&quot;" string="zfb.zht 2022-01-21 16:55:40"/>
        </v:shape>
      </w:pict>
    </w:r>
    <w:r>
      <w:pict>
        <v:shape id="_x0000_s2181" type="#_x0000_t136" style="height:20pt;margin-left:400pt;margin-top:200pt;position:absolute;rotation:-40;width:100pt;z-index:251791360" fillcolor="#eae9e7" strokecolor="#eae9e7">
          <v:textpath style="font-family:&quot;WeiRuanYaHei&quot;" string="zfb.zht 2022-01-21 16:55:40"/>
        </v:shape>
      </w:pict>
    </w:r>
    <w:r>
      <w:pict>
        <v:shape id="_x0000_s2182" type="#_x0000_t136" style="height:20pt;margin-left:400pt;margin-top:400pt;position:absolute;rotation:-40;width:100pt;z-index:251792384" fillcolor="#eae9e7" strokecolor="#eae9e7">
          <v:textpath style="font-family:&quot;WeiRuanYaHei&quot;" string="zfb.zht 2022-01-21 16:55:40"/>
        </v:shape>
      </w:pict>
    </w:r>
    <w:r>
      <w:pict>
        <v:shape id="_x0000_s2183" type="#_x0000_t136" style="height:20pt;margin-left:400pt;margin-top:600pt;position:absolute;rotation:-40;width:100pt;z-index:251793408" fillcolor="#eae9e7" strokecolor="#eae9e7">
          <v:textpath style="font-family:&quot;WeiRuanYaHei&quot;" string="zfb.zht 2022-01-21 16:55:40"/>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21" type="#_x0000_t136" style="height:20pt;margin-left:0;margin-top:0;position:absolute;rotation:-40;width:100pt;z-index:251831296" fillcolor="#eae9e7" strokecolor="#eae9e7">
          <v:textpath style="font-family:&quot;WeiRuanYaHei&quot;" string="zfb.zht 2022-01-21 16:55:40"/>
        </v:shape>
      </w:pict>
    </w:r>
    <w:r>
      <w:pict>
        <v:shape id="_x0000_s2222" type="#_x0000_t136" style="height:20pt;margin-left:0;margin-top:200pt;position:absolute;rotation:-40;width:100pt;z-index:251832320" fillcolor="#eae9e7" strokecolor="#eae9e7">
          <v:textpath style="font-family:&quot;WeiRuanYaHei&quot;" string="zfb.zht 2022-01-21 16:55:40"/>
        </v:shape>
      </w:pict>
    </w:r>
    <w:r>
      <w:pict>
        <v:shape id="_x0000_s2223" type="#_x0000_t136" style="height:20pt;margin-left:0;margin-top:400pt;position:absolute;rotation:-40;width:100pt;z-index:251833344" fillcolor="#eae9e7" strokecolor="#eae9e7">
          <v:textpath style="font-family:&quot;WeiRuanYaHei&quot;" string="zfb.zht 2022-01-21 16:55:40"/>
        </v:shape>
      </w:pict>
    </w:r>
    <w:r>
      <w:pict>
        <v:shape id="_x0000_s2224" type="#_x0000_t136" style="height:20pt;margin-left:0;margin-top:600pt;position:absolute;rotation:-40;width:100pt;z-index:251834368" fillcolor="#eae9e7" strokecolor="#eae9e7">
          <v:textpath style="font-family:&quot;WeiRuanYaHei&quot;" string="zfb.zht 2022-01-21 16:55:40"/>
        </v:shape>
      </w:pict>
    </w:r>
    <w:r>
      <w:pict>
        <v:shape id="_x0000_s2225" type="#_x0000_t136" style="height:20pt;margin-left:200pt;margin-top:0;position:absolute;rotation:-40;width:100pt;z-index:251835392" fillcolor="#eae9e7" strokecolor="#eae9e7">
          <v:textpath style="font-family:&quot;WeiRuanYaHei&quot;" string="zfb.zht 2022-01-21 16:55:40"/>
        </v:shape>
      </w:pict>
    </w:r>
    <w:r>
      <w:pict>
        <v:shape id="_x0000_s2226" type="#_x0000_t136" style="height:20pt;margin-left:200pt;margin-top:200pt;position:absolute;rotation:-40;width:100pt;z-index:251836416" fillcolor="#eae9e7" strokecolor="#eae9e7">
          <v:textpath style="font-family:&quot;WeiRuanYaHei&quot;" string="zfb.zht 2022-01-21 16:55:40"/>
        </v:shape>
      </w:pict>
    </w:r>
    <w:r>
      <w:pict>
        <v:shape id="_x0000_s2227" type="#_x0000_t136" style="height:20pt;margin-left:200pt;margin-top:400pt;position:absolute;rotation:-40;width:100pt;z-index:251837440" fillcolor="#eae9e7" strokecolor="#eae9e7">
          <v:textpath style="font-family:&quot;WeiRuanYaHei&quot;" string="zfb.zht 2022-01-21 16:55:40"/>
        </v:shape>
      </w:pict>
    </w:r>
    <w:r>
      <w:pict>
        <v:shape id="_x0000_s2228" type="#_x0000_t136" style="height:20pt;margin-left:200pt;margin-top:600pt;position:absolute;rotation:-40;width:100pt;z-index:251838464" fillcolor="#eae9e7" strokecolor="#eae9e7">
          <v:textpath style="font-family:&quot;WeiRuanYaHei&quot;" string="zfb.zht 2022-01-21 16:55:40"/>
        </v:shape>
      </w:pict>
    </w:r>
    <w:r>
      <w:pict>
        <v:shape id="_x0000_s2229" type="#_x0000_t136" style="height:20pt;margin-left:400pt;margin-top:0;position:absolute;rotation:-40;width:100pt;z-index:251839488" fillcolor="#eae9e7" strokecolor="#eae9e7">
          <v:textpath style="font-family:&quot;WeiRuanYaHei&quot;" string="zfb.zht 2022-01-21 16:55:40"/>
        </v:shape>
      </w:pict>
    </w:r>
    <w:r>
      <w:pict>
        <v:shape id="_x0000_s2230" type="#_x0000_t136" style="height:20pt;margin-left:400pt;margin-top:200pt;position:absolute;rotation:-40;width:100pt;z-index:251840512" fillcolor="#eae9e7" strokecolor="#eae9e7">
          <v:textpath style="font-family:&quot;WeiRuanYaHei&quot;" string="zfb.zht 2022-01-21 16:55:40"/>
        </v:shape>
      </w:pict>
    </w:r>
    <w:r>
      <w:pict>
        <v:shape id="_x0000_s2231" type="#_x0000_t136" style="height:20pt;margin-left:400pt;margin-top:400pt;position:absolute;rotation:-40;width:100pt;z-index:251841536" fillcolor="#eae9e7" strokecolor="#eae9e7">
          <v:textpath style="font-family:&quot;WeiRuanYaHei&quot;" string="zfb.zht 2022-01-21 16:55:40"/>
        </v:shape>
      </w:pict>
    </w:r>
    <w:r>
      <w:pict>
        <v:shape id="_x0000_s2232" type="#_x0000_t136" style="height:20pt;margin-left:400pt;margin-top:600pt;position:absolute;rotation:-40;width:100pt;z-index:251842560" fillcolor="#eae9e7" strokecolor="#eae9e7">
          <v:textpath style="font-family:&quot;WeiRuanYaHei&quot;" string="zfb.zht 2022-01-21 16:55:40"/>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97" type="#_x0000_t136" style="height:20pt;margin-left:0;margin-top:0;position:absolute;rotation:-40;width:100pt;z-index:251806720" fillcolor="#eae9e7" strokecolor="#eae9e7">
          <v:textpath style="font-family:&quot;WeiRuanYaHei&quot;" string="zfb.zht 2022-01-21 16:55:40"/>
        </v:shape>
      </w:pict>
    </w:r>
    <w:r>
      <w:pict>
        <v:shape id="_x0000_s2198" type="#_x0000_t136" style="height:20pt;margin-left:0;margin-top:200pt;position:absolute;rotation:-40;width:100pt;z-index:251807744" fillcolor="#eae9e7" strokecolor="#eae9e7">
          <v:textpath style="font-family:&quot;WeiRuanYaHei&quot;" string="zfb.zht 2022-01-21 16:55:40"/>
        </v:shape>
      </w:pict>
    </w:r>
    <w:r>
      <w:pict>
        <v:shape id="_x0000_s2199" type="#_x0000_t136" style="height:20pt;margin-left:0;margin-top:400pt;position:absolute;rotation:-40;width:100pt;z-index:251808768" fillcolor="#eae9e7" strokecolor="#eae9e7">
          <v:textpath style="font-family:&quot;WeiRuanYaHei&quot;" string="zfb.zht 2022-01-21 16:55:40"/>
        </v:shape>
      </w:pict>
    </w:r>
    <w:r>
      <w:pict>
        <v:shape id="_x0000_s2200" type="#_x0000_t136" style="height:20pt;margin-left:0;margin-top:600pt;position:absolute;rotation:-40;width:100pt;z-index:251809792" fillcolor="#eae9e7" strokecolor="#eae9e7">
          <v:textpath style="font-family:&quot;WeiRuanYaHei&quot;" string="zfb.zht 2022-01-21 16:55:40"/>
        </v:shape>
      </w:pict>
    </w:r>
    <w:r>
      <w:pict>
        <v:shape id="_x0000_s2201" type="#_x0000_t136" style="height:20pt;margin-left:200pt;margin-top:0;position:absolute;rotation:-40;width:100pt;z-index:251810816" fillcolor="#eae9e7" strokecolor="#eae9e7">
          <v:textpath style="font-family:&quot;WeiRuanYaHei&quot;" string="zfb.zht 2022-01-21 16:55:40"/>
        </v:shape>
      </w:pict>
    </w:r>
    <w:r>
      <w:pict>
        <v:shape id="_x0000_s2202" type="#_x0000_t136" style="height:20pt;margin-left:200pt;margin-top:200pt;position:absolute;rotation:-40;width:100pt;z-index:251811840" fillcolor="#eae9e7" strokecolor="#eae9e7">
          <v:textpath style="font-family:&quot;WeiRuanYaHei&quot;" string="zfb.zht 2022-01-21 16:55:40"/>
        </v:shape>
      </w:pict>
    </w:r>
    <w:r>
      <w:pict>
        <v:shape id="_x0000_s2203" type="#_x0000_t136" style="height:20pt;margin-left:200pt;margin-top:400pt;position:absolute;rotation:-40;width:100pt;z-index:251812864" fillcolor="#eae9e7" strokecolor="#eae9e7">
          <v:textpath style="font-family:&quot;WeiRuanYaHei&quot;" string="zfb.zht 2022-01-21 16:55:40"/>
        </v:shape>
      </w:pict>
    </w:r>
    <w:r>
      <w:pict>
        <v:shape id="_x0000_s2204" type="#_x0000_t136" style="height:20pt;margin-left:200pt;margin-top:600pt;position:absolute;rotation:-40;width:100pt;z-index:251813888" fillcolor="#eae9e7" strokecolor="#eae9e7">
          <v:textpath style="font-family:&quot;WeiRuanYaHei&quot;" string="zfb.zht 2022-01-21 16:55:40"/>
        </v:shape>
      </w:pict>
    </w:r>
    <w:r>
      <w:pict>
        <v:shape id="_x0000_s2205" type="#_x0000_t136" style="height:20pt;margin-left:400pt;margin-top:0;position:absolute;rotation:-40;width:100pt;z-index:251814912" fillcolor="#eae9e7" strokecolor="#eae9e7">
          <v:textpath style="font-family:&quot;WeiRuanYaHei&quot;" string="zfb.zht 2022-01-21 16:55:40"/>
        </v:shape>
      </w:pict>
    </w:r>
    <w:r>
      <w:pict>
        <v:shape id="_x0000_s2206" type="#_x0000_t136" style="height:20pt;margin-left:400pt;margin-top:200pt;position:absolute;rotation:-40;width:100pt;z-index:251815936" fillcolor="#eae9e7" strokecolor="#eae9e7">
          <v:textpath style="font-family:&quot;WeiRuanYaHei&quot;" string="zfb.zht 2022-01-21 16:55:40"/>
        </v:shape>
      </w:pict>
    </w:r>
    <w:r>
      <w:pict>
        <v:shape id="_x0000_s2207" type="#_x0000_t136" style="height:20pt;margin-left:400pt;margin-top:400pt;position:absolute;rotation:-40;width:100pt;z-index:251816960" fillcolor="#eae9e7" strokecolor="#eae9e7">
          <v:textpath style="font-family:&quot;WeiRuanYaHei&quot;" string="zfb.zht 2022-01-21 16:55:40"/>
        </v:shape>
      </w:pict>
    </w:r>
    <w:r>
      <w:pict>
        <v:shape id="_x0000_s2208" type="#_x0000_t136" style="height:20pt;margin-left:400pt;margin-top:600pt;position:absolute;rotation:-40;width:100pt;z-index:251817984" fillcolor="#eae9e7" strokecolor="#eae9e7">
          <v:textpath style="font-family:&quot;WeiRuanYaHei&quot;" string="zfb.zht 2022-01-21 16:55:40"/>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09" type="#_x0000_t136" style="height:20pt;margin-left:0;margin-top:0;position:absolute;rotation:-40;width:100pt;z-index:251819008" fillcolor="#eae9e7" strokecolor="#eae9e7">
          <v:textpath style="font-family:&quot;WeiRuanYaHei&quot;" string="zfb.zht 2022-01-21 16:55:40"/>
        </v:shape>
      </w:pict>
    </w:r>
    <w:r>
      <w:pict>
        <v:shape id="_x0000_s2210" type="#_x0000_t136" style="height:20pt;margin-left:0;margin-top:200pt;position:absolute;rotation:-40;width:100pt;z-index:251820032" fillcolor="#eae9e7" strokecolor="#eae9e7">
          <v:textpath style="font-family:&quot;WeiRuanYaHei&quot;" string="zfb.zht 2022-01-21 16:55:40"/>
        </v:shape>
      </w:pict>
    </w:r>
    <w:r>
      <w:pict>
        <v:shape id="_x0000_s2211" type="#_x0000_t136" style="height:20pt;margin-left:0;margin-top:400pt;position:absolute;rotation:-40;width:100pt;z-index:251821056" fillcolor="#eae9e7" strokecolor="#eae9e7">
          <v:textpath style="font-family:&quot;WeiRuanYaHei&quot;" string="zfb.zht 2022-01-21 16:55:40"/>
        </v:shape>
      </w:pict>
    </w:r>
    <w:r>
      <w:pict>
        <v:shape id="_x0000_s2212" type="#_x0000_t136" style="height:20pt;margin-left:0;margin-top:600pt;position:absolute;rotation:-40;width:100pt;z-index:251822080" fillcolor="#eae9e7" strokecolor="#eae9e7">
          <v:textpath style="font-family:&quot;WeiRuanYaHei&quot;" string="zfb.zht 2022-01-21 16:55:40"/>
        </v:shape>
      </w:pict>
    </w:r>
    <w:r>
      <w:pict>
        <v:shape id="_x0000_s2213" type="#_x0000_t136" style="height:20pt;margin-left:200pt;margin-top:0;position:absolute;rotation:-40;width:100pt;z-index:251823104" fillcolor="#eae9e7" strokecolor="#eae9e7">
          <v:textpath style="font-family:&quot;WeiRuanYaHei&quot;" string="zfb.zht 2022-01-21 16:55:40"/>
        </v:shape>
      </w:pict>
    </w:r>
    <w:r>
      <w:pict>
        <v:shape id="_x0000_s2214" type="#_x0000_t136" style="height:20pt;margin-left:200pt;margin-top:200pt;position:absolute;rotation:-40;width:100pt;z-index:251824128" fillcolor="#eae9e7" strokecolor="#eae9e7">
          <v:textpath style="font-family:&quot;WeiRuanYaHei&quot;" string="zfb.zht 2022-01-21 16:55:40"/>
        </v:shape>
      </w:pict>
    </w:r>
    <w:r>
      <w:pict>
        <v:shape id="_x0000_s2215" type="#_x0000_t136" style="height:20pt;margin-left:200pt;margin-top:400pt;position:absolute;rotation:-40;width:100pt;z-index:251825152" fillcolor="#eae9e7" strokecolor="#eae9e7">
          <v:textpath style="font-family:&quot;WeiRuanYaHei&quot;" string="zfb.zht 2022-01-21 16:55:40"/>
        </v:shape>
      </w:pict>
    </w:r>
    <w:r>
      <w:pict>
        <v:shape id="_x0000_s2216" type="#_x0000_t136" style="height:20pt;margin-left:200pt;margin-top:600pt;position:absolute;rotation:-40;width:100pt;z-index:251826176" fillcolor="#eae9e7" strokecolor="#eae9e7">
          <v:textpath style="font-family:&quot;WeiRuanYaHei&quot;" string="zfb.zht 2022-01-21 16:55:40"/>
        </v:shape>
      </w:pict>
    </w:r>
    <w:r>
      <w:pict>
        <v:shape id="_x0000_s2217" type="#_x0000_t136" style="height:20pt;margin-left:400pt;margin-top:0;position:absolute;rotation:-40;width:100pt;z-index:251827200" fillcolor="#eae9e7" strokecolor="#eae9e7">
          <v:textpath style="font-family:&quot;WeiRuanYaHei&quot;" string="zfb.zht 2022-01-21 16:55:40"/>
        </v:shape>
      </w:pict>
    </w:r>
    <w:r>
      <w:pict>
        <v:shape id="_x0000_s2218" type="#_x0000_t136" style="height:20pt;margin-left:400pt;margin-top:200pt;position:absolute;rotation:-40;width:100pt;z-index:251828224" fillcolor="#eae9e7" strokecolor="#eae9e7">
          <v:textpath style="font-family:&quot;WeiRuanYaHei&quot;" string="zfb.zht 2022-01-21 16:55:40"/>
        </v:shape>
      </w:pict>
    </w:r>
    <w:r>
      <w:pict>
        <v:shape id="_x0000_s2219" type="#_x0000_t136" style="height:20pt;margin-left:400pt;margin-top:400pt;position:absolute;rotation:-40;width:100pt;z-index:251829248" fillcolor="#eae9e7" strokecolor="#eae9e7">
          <v:textpath style="font-family:&quot;WeiRuanYaHei&quot;" string="zfb.zht 2022-01-21 16:55:40"/>
        </v:shape>
      </w:pict>
    </w:r>
    <w:r>
      <w:pict>
        <v:shape id="_x0000_s2220" type="#_x0000_t136" style="height:20pt;margin-left:400pt;margin-top:600pt;position:absolute;rotation:-40;width:100pt;z-index:251830272" fillcolor="#eae9e7" strokecolor="#eae9e7">
          <v:textpath style="font-family:&quot;WeiRuanYaHei&quot;" string="zfb.zht 2022-01-21 16:55:40"/>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58" type="#_x0000_t136" style="height:20pt;margin-left:0;margin-top:0;position:absolute;rotation:-40;width:100pt;z-index:251868160" fillcolor="#eae9e7" strokecolor="#eae9e7">
          <v:textpath style="font-family:&quot;WeiRuanYaHei&quot;" string="zfb.zht 2022-01-21 16:55:40"/>
        </v:shape>
      </w:pict>
    </w:r>
    <w:r>
      <w:pict>
        <v:shape id="_x0000_s2259" type="#_x0000_t136" style="height:20pt;margin-left:0;margin-top:200pt;position:absolute;rotation:-40;width:100pt;z-index:251869184" fillcolor="#eae9e7" strokecolor="#eae9e7">
          <v:textpath style="font-family:&quot;WeiRuanYaHei&quot;" string="zfb.zht 2022-01-21 16:55:40"/>
        </v:shape>
      </w:pict>
    </w:r>
    <w:r>
      <w:pict>
        <v:shape id="_x0000_s2260" type="#_x0000_t136" style="height:20pt;margin-left:0;margin-top:400pt;position:absolute;rotation:-40;width:100pt;z-index:251870208" fillcolor="#eae9e7" strokecolor="#eae9e7">
          <v:textpath style="font-family:&quot;WeiRuanYaHei&quot;" string="zfb.zht 2022-01-21 16:55:40"/>
        </v:shape>
      </w:pict>
    </w:r>
    <w:r>
      <w:pict>
        <v:shape id="_x0000_s2261" type="#_x0000_t136" style="height:20pt;margin-left:0;margin-top:600pt;position:absolute;rotation:-40;width:100pt;z-index:251871232" fillcolor="#eae9e7" strokecolor="#eae9e7">
          <v:textpath style="font-family:&quot;WeiRuanYaHei&quot;" string="zfb.zht 2022-01-21 16:55:40"/>
        </v:shape>
      </w:pict>
    </w:r>
    <w:r>
      <w:pict>
        <v:shape id="_x0000_s2262" type="#_x0000_t136" style="height:20pt;margin-left:200pt;margin-top:0;position:absolute;rotation:-40;width:100pt;z-index:251872256" fillcolor="#eae9e7" strokecolor="#eae9e7">
          <v:textpath style="font-family:&quot;WeiRuanYaHei&quot;" string="zfb.zht 2022-01-21 16:55:40"/>
        </v:shape>
      </w:pict>
    </w:r>
    <w:r>
      <w:pict>
        <v:shape id="_x0000_s2263" type="#_x0000_t136" style="height:20pt;margin-left:200pt;margin-top:200pt;position:absolute;rotation:-40;width:100pt;z-index:251873280" fillcolor="#eae9e7" strokecolor="#eae9e7">
          <v:textpath style="font-family:&quot;WeiRuanYaHei&quot;" string="zfb.zht 2022-01-21 16:55:40"/>
        </v:shape>
      </w:pict>
    </w:r>
    <w:r>
      <w:pict>
        <v:shape id="_x0000_s2264" type="#_x0000_t136" style="height:20pt;margin-left:200pt;margin-top:400pt;position:absolute;rotation:-40;width:100pt;z-index:251874304" fillcolor="#eae9e7" strokecolor="#eae9e7">
          <v:textpath style="font-family:&quot;WeiRuanYaHei&quot;" string="zfb.zht 2022-01-21 16:55:40"/>
        </v:shape>
      </w:pict>
    </w:r>
    <w:r>
      <w:pict>
        <v:shape id="_x0000_s2265" type="#_x0000_t136" style="height:20pt;margin-left:200pt;margin-top:600pt;position:absolute;rotation:-40;width:100pt;z-index:251875328" fillcolor="#eae9e7" strokecolor="#eae9e7">
          <v:textpath style="font-family:&quot;WeiRuanYaHei&quot;" string="zfb.zht 2022-01-21 16:55:40"/>
        </v:shape>
      </w:pict>
    </w:r>
    <w:r>
      <w:pict>
        <v:shape id="_x0000_s2266" type="#_x0000_t136" style="height:20pt;margin-left:400pt;margin-top:0;position:absolute;rotation:-40;width:100pt;z-index:251876352" fillcolor="#eae9e7" strokecolor="#eae9e7">
          <v:textpath style="font-family:&quot;WeiRuanYaHei&quot;" string="zfb.zht 2022-01-21 16:55:40"/>
        </v:shape>
      </w:pict>
    </w:r>
    <w:r>
      <w:pict>
        <v:shape id="_x0000_s2267" type="#_x0000_t136" style="height:20pt;margin-left:400pt;margin-top:200pt;position:absolute;rotation:-40;width:100pt;z-index:251877376" fillcolor="#eae9e7" strokecolor="#eae9e7">
          <v:textpath style="font-family:&quot;WeiRuanYaHei&quot;" string="zfb.zht 2022-01-21 16:55:40"/>
        </v:shape>
      </w:pict>
    </w:r>
    <w:r>
      <w:pict>
        <v:shape id="_x0000_s2268" type="#_x0000_t136" style="height:20pt;margin-left:400pt;margin-top:400pt;position:absolute;rotation:-40;width:100pt;z-index:251878400" fillcolor="#eae9e7" strokecolor="#eae9e7">
          <v:textpath style="font-family:&quot;WeiRuanYaHei&quot;" string="zfb.zht 2022-01-21 16:55:40"/>
        </v:shape>
      </w:pict>
    </w:r>
    <w:r>
      <w:pict>
        <v:shape id="_x0000_s2269" type="#_x0000_t136" style="height:20pt;margin-left:400pt;margin-top:600pt;position:absolute;rotation:-40;width:100pt;z-index:251879424" fillcolor="#eae9e7" strokecolor="#eae9e7">
          <v:textpath style="font-family:&quot;WeiRuanYaHei&quot;" string="zfb.zht 2022-01-21 16:55:40"/>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34" type="#_x0000_t136" style="height:20pt;margin-left:0;margin-top:0;position:absolute;rotation:-40;width:100pt;z-index:251843584" fillcolor="#eae9e7" strokecolor="#eae9e7">
          <v:textpath style="font-family:&quot;WeiRuanYaHei&quot;" string="zfb.zht 2022-01-21 16:55:40"/>
        </v:shape>
      </w:pict>
    </w:r>
    <w:r>
      <w:pict>
        <v:shape id="_x0000_s2235" type="#_x0000_t136" style="height:20pt;margin-left:0;margin-top:200pt;position:absolute;rotation:-40;width:100pt;z-index:251844608" fillcolor="#eae9e7" strokecolor="#eae9e7">
          <v:textpath style="font-family:&quot;WeiRuanYaHei&quot;" string="zfb.zht 2022-01-21 16:55:40"/>
        </v:shape>
      </w:pict>
    </w:r>
    <w:r>
      <w:pict>
        <v:shape id="_x0000_s2236" type="#_x0000_t136" style="height:20pt;margin-left:0;margin-top:400pt;position:absolute;rotation:-40;width:100pt;z-index:251845632" fillcolor="#eae9e7" strokecolor="#eae9e7">
          <v:textpath style="font-family:&quot;WeiRuanYaHei&quot;" string="zfb.zht 2022-01-21 16:55:40"/>
        </v:shape>
      </w:pict>
    </w:r>
    <w:r>
      <w:pict>
        <v:shape id="_x0000_s2237" type="#_x0000_t136" style="height:20pt;margin-left:0;margin-top:600pt;position:absolute;rotation:-40;width:100pt;z-index:251846656" fillcolor="#eae9e7" strokecolor="#eae9e7">
          <v:textpath style="font-family:&quot;WeiRuanYaHei&quot;" string="zfb.zht 2022-01-21 16:55:40"/>
        </v:shape>
      </w:pict>
    </w:r>
    <w:r>
      <w:pict>
        <v:shape id="_x0000_s2238" type="#_x0000_t136" style="height:20pt;margin-left:200pt;margin-top:0;position:absolute;rotation:-40;width:100pt;z-index:251847680" fillcolor="#eae9e7" strokecolor="#eae9e7">
          <v:textpath style="font-family:&quot;WeiRuanYaHei&quot;" string="zfb.zht 2022-01-21 16:55:40"/>
        </v:shape>
      </w:pict>
    </w:r>
    <w:r>
      <w:pict>
        <v:shape id="_x0000_s2239" type="#_x0000_t136" style="height:20pt;margin-left:200pt;margin-top:200pt;position:absolute;rotation:-40;width:100pt;z-index:251848704" fillcolor="#eae9e7" strokecolor="#eae9e7">
          <v:textpath style="font-family:&quot;WeiRuanYaHei&quot;" string="zfb.zht 2022-01-21 16:55:40"/>
        </v:shape>
      </w:pict>
    </w:r>
    <w:r>
      <w:pict>
        <v:shape id="_x0000_s2240" type="#_x0000_t136" style="height:20pt;margin-left:200pt;margin-top:400pt;position:absolute;rotation:-40;width:100pt;z-index:251849728" fillcolor="#eae9e7" strokecolor="#eae9e7">
          <v:textpath style="font-family:&quot;WeiRuanYaHei&quot;" string="zfb.zht 2022-01-21 16:55:40"/>
        </v:shape>
      </w:pict>
    </w:r>
    <w:r>
      <w:pict>
        <v:shape id="_x0000_s2241" type="#_x0000_t136" style="height:20pt;margin-left:200pt;margin-top:600pt;position:absolute;rotation:-40;width:100pt;z-index:251850752" fillcolor="#eae9e7" strokecolor="#eae9e7">
          <v:textpath style="font-family:&quot;WeiRuanYaHei&quot;" string="zfb.zht 2022-01-21 16:55:40"/>
        </v:shape>
      </w:pict>
    </w:r>
    <w:r>
      <w:pict>
        <v:shape id="_x0000_s2242" type="#_x0000_t136" style="height:20pt;margin-left:400pt;margin-top:0;position:absolute;rotation:-40;width:100pt;z-index:251851776" fillcolor="#eae9e7" strokecolor="#eae9e7">
          <v:textpath style="font-family:&quot;WeiRuanYaHei&quot;" string="zfb.zht 2022-01-21 16:55:40"/>
        </v:shape>
      </w:pict>
    </w:r>
    <w:r>
      <w:pict>
        <v:shape id="_x0000_s2243" type="#_x0000_t136" style="height:20pt;margin-left:400pt;margin-top:200pt;position:absolute;rotation:-40;width:100pt;z-index:251852800" fillcolor="#eae9e7" strokecolor="#eae9e7">
          <v:textpath style="font-family:&quot;WeiRuanYaHei&quot;" string="zfb.zht 2022-01-21 16:55:40"/>
        </v:shape>
      </w:pict>
    </w:r>
    <w:r>
      <w:pict>
        <v:shape id="_x0000_s2244" type="#_x0000_t136" style="height:20pt;margin-left:400pt;margin-top:400pt;position:absolute;rotation:-40;width:100pt;z-index:251853824" fillcolor="#eae9e7" strokecolor="#eae9e7">
          <v:textpath style="font-family:&quot;WeiRuanYaHei&quot;" string="zfb.zht 2022-01-21 16:55:40"/>
        </v:shape>
      </w:pict>
    </w:r>
    <w:r>
      <w:pict>
        <v:shape id="_x0000_s2245" type="#_x0000_t136" style="height:20pt;margin-left:400pt;margin-top:600pt;position:absolute;rotation:-40;width:100pt;z-index:251854848" fillcolor="#eae9e7" strokecolor="#eae9e7">
          <v:textpath style="font-family:&quot;WeiRuanYaHei&quot;" string="zfb.zht 2022-01-21 16:55:40"/>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46" type="#_x0000_t136" style="height:20pt;margin-left:0;margin-top:0;position:absolute;rotation:-40;width:100pt;z-index:251855872" fillcolor="#eae9e7" strokecolor="#eae9e7">
          <v:textpath style="font-family:&quot;WeiRuanYaHei&quot;" string="zfb.zht 2022-01-21 16:55:40"/>
        </v:shape>
      </w:pict>
    </w:r>
    <w:r>
      <w:pict>
        <v:shape id="_x0000_s2247" type="#_x0000_t136" style="height:20pt;margin-left:0;margin-top:200pt;position:absolute;rotation:-40;width:100pt;z-index:251856896" fillcolor="#eae9e7" strokecolor="#eae9e7">
          <v:textpath style="font-family:&quot;WeiRuanYaHei&quot;" string="zfb.zht 2022-01-21 16:55:40"/>
        </v:shape>
      </w:pict>
    </w:r>
    <w:r>
      <w:pict>
        <v:shape id="_x0000_s2248" type="#_x0000_t136" style="height:20pt;margin-left:0;margin-top:400pt;position:absolute;rotation:-40;width:100pt;z-index:251857920" fillcolor="#eae9e7" strokecolor="#eae9e7">
          <v:textpath style="font-family:&quot;WeiRuanYaHei&quot;" string="zfb.zht 2022-01-21 16:55:40"/>
        </v:shape>
      </w:pict>
    </w:r>
    <w:r>
      <w:pict>
        <v:shape id="_x0000_s2249" type="#_x0000_t136" style="height:20pt;margin-left:0;margin-top:600pt;position:absolute;rotation:-40;width:100pt;z-index:251858944" fillcolor="#eae9e7" strokecolor="#eae9e7">
          <v:textpath style="font-family:&quot;WeiRuanYaHei&quot;" string="zfb.zht 2022-01-21 16:55:40"/>
        </v:shape>
      </w:pict>
    </w:r>
    <w:r>
      <w:pict>
        <v:shape id="_x0000_s2250" type="#_x0000_t136" style="height:20pt;margin-left:200pt;margin-top:0;position:absolute;rotation:-40;width:100pt;z-index:251859968" fillcolor="#eae9e7" strokecolor="#eae9e7">
          <v:textpath style="font-family:&quot;WeiRuanYaHei&quot;" string="zfb.zht 2022-01-21 16:55:40"/>
        </v:shape>
      </w:pict>
    </w:r>
    <w:r>
      <w:pict>
        <v:shape id="_x0000_s2251" type="#_x0000_t136" style="height:20pt;margin-left:200pt;margin-top:200pt;position:absolute;rotation:-40;width:100pt;z-index:251860992" fillcolor="#eae9e7" strokecolor="#eae9e7">
          <v:textpath style="font-family:&quot;WeiRuanYaHei&quot;" string="zfb.zht 2022-01-21 16:55:40"/>
        </v:shape>
      </w:pict>
    </w:r>
    <w:r>
      <w:pict>
        <v:shape id="_x0000_s2252" type="#_x0000_t136" style="height:20pt;margin-left:200pt;margin-top:400pt;position:absolute;rotation:-40;width:100pt;z-index:251862016" fillcolor="#eae9e7" strokecolor="#eae9e7">
          <v:textpath style="font-family:&quot;WeiRuanYaHei&quot;" string="zfb.zht 2022-01-21 16:55:40"/>
        </v:shape>
      </w:pict>
    </w:r>
    <w:r>
      <w:pict>
        <v:shape id="_x0000_s2253" type="#_x0000_t136" style="height:20pt;margin-left:200pt;margin-top:600pt;position:absolute;rotation:-40;width:100pt;z-index:251863040" fillcolor="#eae9e7" strokecolor="#eae9e7">
          <v:textpath style="font-family:&quot;WeiRuanYaHei&quot;" string="zfb.zht 2022-01-21 16:55:40"/>
        </v:shape>
      </w:pict>
    </w:r>
    <w:r>
      <w:pict>
        <v:shape id="_x0000_s2254" type="#_x0000_t136" style="height:20pt;margin-left:400pt;margin-top:0;position:absolute;rotation:-40;width:100pt;z-index:251864064" fillcolor="#eae9e7" strokecolor="#eae9e7">
          <v:textpath style="font-family:&quot;WeiRuanYaHei&quot;" string="zfb.zht 2022-01-21 16:55:40"/>
        </v:shape>
      </w:pict>
    </w:r>
    <w:r>
      <w:pict>
        <v:shape id="_x0000_s2255" type="#_x0000_t136" style="height:20pt;margin-left:400pt;margin-top:200pt;position:absolute;rotation:-40;width:100pt;z-index:251865088" fillcolor="#eae9e7" strokecolor="#eae9e7">
          <v:textpath style="font-family:&quot;WeiRuanYaHei&quot;" string="zfb.zht 2022-01-21 16:55:40"/>
        </v:shape>
      </w:pict>
    </w:r>
    <w:r>
      <w:pict>
        <v:shape id="_x0000_s2256" type="#_x0000_t136" style="height:20pt;margin-left:400pt;margin-top:400pt;position:absolute;rotation:-40;width:100pt;z-index:251866112" fillcolor="#eae9e7" strokecolor="#eae9e7">
          <v:textpath style="font-family:&quot;WeiRuanYaHei&quot;" string="zfb.zht 2022-01-21 16:55:40"/>
        </v:shape>
      </w:pict>
    </w:r>
    <w:r>
      <w:pict>
        <v:shape id="_x0000_s2257" type="#_x0000_t136" style="height:20pt;margin-left:400pt;margin-top:600pt;position:absolute;rotation:-40;width:100pt;z-index:251867136" fillcolor="#eae9e7" strokecolor="#eae9e7">
          <v:textpath style="font-family:&quot;WeiRuanYaHei&quot;" string="zfb.zht 2022-01-21 16:55:40"/>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94" type="#_x0000_t136" style="height:20pt;margin-left:0;margin-top:0;position:absolute;rotation:-40;width:100pt;z-index:251905024" fillcolor="#eae9e7" strokecolor="#eae9e7">
          <v:textpath style="font-family:&quot;WeiRuanYaHei&quot;" string="zfb.zht 2022-01-21 16:55:40"/>
        </v:shape>
      </w:pict>
    </w:r>
    <w:r>
      <w:pict>
        <v:shape id="_x0000_s2295" type="#_x0000_t136" style="height:20pt;margin-left:0;margin-top:200pt;position:absolute;rotation:-40;width:100pt;z-index:251906048" fillcolor="#eae9e7" strokecolor="#eae9e7">
          <v:textpath style="font-family:&quot;WeiRuanYaHei&quot;" string="zfb.zht 2022-01-21 16:55:40"/>
        </v:shape>
      </w:pict>
    </w:r>
    <w:r>
      <w:pict>
        <v:shape id="_x0000_s2296" type="#_x0000_t136" style="height:20pt;margin-left:0;margin-top:400pt;position:absolute;rotation:-40;width:100pt;z-index:251907072" fillcolor="#eae9e7" strokecolor="#eae9e7">
          <v:textpath style="font-family:&quot;WeiRuanYaHei&quot;" string="zfb.zht 2022-01-21 16:55:40"/>
        </v:shape>
      </w:pict>
    </w:r>
    <w:r>
      <w:pict>
        <v:shape id="_x0000_s2297" type="#_x0000_t136" style="height:20pt;margin-left:0;margin-top:600pt;position:absolute;rotation:-40;width:100pt;z-index:251908096" fillcolor="#eae9e7" strokecolor="#eae9e7">
          <v:textpath style="font-family:&quot;WeiRuanYaHei&quot;" string="zfb.zht 2022-01-21 16:55:40"/>
        </v:shape>
      </w:pict>
    </w:r>
    <w:r>
      <w:pict>
        <v:shape id="_x0000_s2298" type="#_x0000_t136" style="height:20pt;margin-left:200pt;margin-top:0;position:absolute;rotation:-40;width:100pt;z-index:251909120" fillcolor="#eae9e7" strokecolor="#eae9e7">
          <v:textpath style="font-family:&quot;WeiRuanYaHei&quot;" string="zfb.zht 2022-01-21 16:55:40"/>
        </v:shape>
      </w:pict>
    </w:r>
    <w:r>
      <w:pict>
        <v:shape id="_x0000_s2299" type="#_x0000_t136" style="height:20pt;margin-left:200pt;margin-top:200pt;position:absolute;rotation:-40;width:100pt;z-index:251910144" fillcolor="#eae9e7" strokecolor="#eae9e7">
          <v:textpath style="font-family:&quot;WeiRuanYaHei&quot;" string="zfb.zht 2022-01-21 16:55:40"/>
        </v:shape>
      </w:pict>
    </w:r>
    <w:r>
      <w:pict>
        <v:shape id="_x0000_s2300" type="#_x0000_t136" style="height:20pt;margin-left:200pt;margin-top:400pt;position:absolute;rotation:-40;width:100pt;z-index:251911168" fillcolor="#eae9e7" strokecolor="#eae9e7">
          <v:textpath style="font-family:&quot;WeiRuanYaHei&quot;" string="zfb.zht 2022-01-21 16:55:40"/>
        </v:shape>
      </w:pict>
    </w:r>
    <w:r>
      <w:pict>
        <v:shape id="_x0000_s2301" type="#_x0000_t136" style="height:20pt;margin-left:200pt;margin-top:600pt;position:absolute;rotation:-40;width:100pt;z-index:251912192" fillcolor="#eae9e7" strokecolor="#eae9e7">
          <v:textpath style="font-family:&quot;WeiRuanYaHei&quot;" string="zfb.zht 2022-01-21 16:55:40"/>
        </v:shape>
      </w:pict>
    </w:r>
    <w:r>
      <w:pict>
        <v:shape id="_x0000_s2302" type="#_x0000_t136" style="height:20pt;margin-left:400pt;margin-top:0;position:absolute;rotation:-40;width:100pt;z-index:251913216" fillcolor="#eae9e7" strokecolor="#eae9e7">
          <v:textpath style="font-family:&quot;WeiRuanYaHei&quot;" string="zfb.zht 2022-01-21 16:55:40"/>
        </v:shape>
      </w:pict>
    </w:r>
    <w:r>
      <w:pict>
        <v:shape id="_x0000_s2303" type="#_x0000_t136" style="height:20pt;margin-left:400pt;margin-top:200pt;position:absolute;rotation:-40;width:100pt;z-index:251914240" fillcolor="#eae9e7" strokecolor="#eae9e7">
          <v:textpath style="font-family:&quot;WeiRuanYaHei&quot;" string="zfb.zht 2022-01-21 16:55:40"/>
        </v:shape>
      </w:pict>
    </w:r>
    <w:r>
      <w:pict>
        <v:shape id="_x0000_s2304" type="#_x0000_t136" style="height:20pt;margin-left:400pt;margin-top:400pt;position:absolute;rotation:-40;width:100pt;z-index:251915264" fillcolor="#eae9e7" strokecolor="#eae9e7">
          <v:textpath style="font-family:&quot;WeiRuanYaHei&quot;" string="zfb.zht 2022-01-21 16:55:40"/>
        </v:shape>
      </w:pict>
    </w:r>
    <w:r>
      <w:pict>
        <v:shape id="_x0000_s2305" type="#_x0000_t136" style="height:20pt;margin-left:400pt;margin-top:600pt;position:absolute;rotation:-40;width:100pt;z-index:251916288" fillcolor="#eae9e7" strokecolor="#eae9e7">
          <v:textpath style="font-family:&quot;WeiRuanYaHei&quot;" string="zfb.zht 2022-01-21 16:55:40"/>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style="height:20pt;margin-left:0;margin-top:0;position:absolute;rotation:-40;width:100pt;z-index:251658240" fillcolor="#eae9e7" strokecolor="#eae9e7">
          <v:textpath style="font-family:&quot;WeiRuanYaHei&quot;" string="zfb.zht 2022-01-21 16:55:40"/>
        </v:shape>
      </w:pict>
    </w:r>
    <w:r>
      <w:pict>
        <v:shape id="_x0000_s2050" type="#_x0000_t136" style="height:20pt;margin-left:0;margin-top:200pt;position:absolute;rotation:-40;width:100pt;z-index:251659264" fillcolor="#eae9e7" strokecolor="#eae9e7">
          <v:textpath style="font-family:&quot;WeiRuanYaHei&quot;" string="zfb.zht 2022-01-21 16:55:40"/>
        </v:shape>
      </w:pict>
    </w:r>
    <w:r>
      <w:pict>
        <v:shape id="_x0000_s2051" type="#_x0000_t136" style="height:20pt;margin-left:0;margin-top:400pt;position:absolute;rotation:-40;width:100pt;z-index:251660288" fillcolor="#eae9e7" strokecolor="#eae9e7">
          <v:textpath style="font-family:&quot;WeiRuanYaHei&quot;" string="zfb.zht 2022-01-21 16:55:40"/>
        </v:shape>
      </w:pict>
    </w:r>
    <w:r>
      <w:pict>
        <v:shape id="_x0000_s2052" type="#_x0000_t136" style="height:20pt;margin-left:0;margin-top:600pt;position:absolute;rotation:-40;width:100pt;z-index:251661312" fillcolor="#eae9e7" strokecolor="#eae9e7">
          <v:textpath style="font-family:&quot;WeiRuanYaHei&quot;" string="zfb.zht 2022-01-21 16:55:40"/>
        </v:shape>
      </w:pict>
    </w:r>
    <w:r>
      <w:pict>
        <v:shape id="_x0000_s2053" type="#_x0000_t136" style="height:20pt;margin-left:200pt;margin-top:0;position:absolute;rotation:-40;width:100pt;z-index:251662336" fillcolor="#eae9e7" strokecolor="#eae9e7">
          <v:textpath style="font-family:&quot;WeiRuanYaHei&quot;" string="zfb.zht 2022-01-21 16:55:40"/>
        </v:shape>
      </w:pict>
    </w:r>
    <w:r>
      <w:pict>
        <v:shape id="_x0000_s2054" type="#_x0000_t136" style="height:20pt;margin-left:200pt;margin-top:200pt;position:absolute;rotation:-40;width:100pt;z-index:251663360" fillcolor="#eae9e7" strokecolor="#eae9e7">
          <v:textpath style="font-family:&quot;WeiRuanYaHei&quot;" string="zfb.zht 2022-01-21 16:55:40"/>
        </v:shape>
      </w:pict>
    </w:r>
    <w:r>
      <w:pict>
        <v:shape id="_x0000_s2055" type="#_x0000_t136" style="height:20pt;margin-left:200pt;margin-top:400pt;position:absolute;rotation:-40;width:100pt;z-index:251664384" fillcolor="#eae9e7" strokecolor="#eae9e7">
          <v:textpath style="font-family:&quot;WeiRuanYaHei&quot;" string="zfb.zht 2022-01-21 16:55:40"/>
        </v:shape>
      </w:pict>
    </w:r>
    <w:r>
      <w:pict>
        <v:shape id="_x0000_s2056" type="#_x0000_t136" style="height:20pt;margin-left:200pt;margin-top:600pt;position:absolute;rotation:-40;width:100pt;z-index:251665408" fillcolor="#eae9e7" strokecolor="#eae9e7">
          <v:textpath style="font-family:&quot;WeiRuanYaHei&quot;" string="zfb.zht 2022-01-21 16:55:40"/>
        </v:shape>
      </w:pict>
    </w:r>
    <w:r>
      <w:pict>
        <v:shape id="_x0000_s2057" type="#_x0000_t136" style="height:20pt;margin-left:400pt;margin-top:0;position:absolute;rotation:-40;width:100pt;z-index:251666432" fillcolor="#eae9e7" strokecolor="#eae9e7">
          <v:textpath style="font-family:&quot;WeiRuanYaHei&quot;" string="zfb.zht 2022-01-21 16:55:40"/>
        </v:shape>
      </w:pict>
    </w:r>
    <w:r>
      <w:pict>
        <v:shape id="_x0000_s2058" type="#_x0000_t136" style="height:20pt;margin-left:400pt;margin-top:200pt;position:absolute;rotation:-40;width:100pt;z-index:251667456" fillcolor="#eae9e7" strokecolor="#eae9e7">
          <v:textpath style="font-family:&quot;WeiRuanYaHei&quot;" string="zfb.zht 2022-01-21 16:55:40"/>
        </v:shape>
      </w:pict>
    </w:r>
    <w:r>
      <w:pict>
        <v:shape id="_x0000_s2059" type="#_x0000_t136" style="height:20pt;margin-left:400pt;margin-top:400pt;position:absolute;rotation:-40;width:100pt;z-index:251668480" fillcolor="#eae9e7" strokecolor="#eae9e7">
          <v:textpath style="font-family:&quot;WeiRuanYaHei&quot;" string="zfb.zht 2022-01-21 16:55:40"/>
        </v:shape>
      </w:pict>
    </w:r>
    <w:r>
      <w:pict>
        <v:shape id="_x0000_s2060" type="#_x0000_t136" style="height:20pt;margin-left:400pt;margin-top:600pt;position:absolute;rotation:-40;width:100pt;z-index:251669504" fillcolor="#eae9e7" strokecolor="#eae9e7">
          <v:textpath style="font-family:&quot;WeiRuanYaHei&quot;" string="zfb.zht 2022-01-21 16:55:40"/>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70" type="#_x0000_t136" style="height:20pt;margin-left:0;margin-top:0;position:absolute;rotation:-40;width:100pt;z-index:251880448" fillcolor="#eae9e7" strokecolor="#eae9e7">
          <v:textpath style="font-family:&quot;WeiRuanYaHei&quot;" string="zfb.zht 2022-01-21 16:55:40"/>
        </v:shape>
      </w:pict>
    </w:r>
    <w:r>
      <w:pict>
        <v:shape id="_x0000_s2271" type="#_x0000_t136" style="height:20pt;margin-left:0;margin-top:200pt;position:absolute;rotation:-40;width:100pt;z-index:251881472" fillcolor="#eae9e7" strokecolor="#eae9e7">
          <v:textpath style="font-family:&quot;WeiRuanYaHei&quot;" string="zfb.zht 2022-01-21 16:55:40"/>
        </v:shape>
      </w:pict>
    </w:r>
    <w:r>
      <w:pict>
        <v:shape id="_x0000_s2272" type="#_x0000_t136" style="height:20pt;margin-left:0;margin-top:400pt;position:absolute;rotation:-40;width:100pt;z-index:251882496" fillcolor="#eae9e7" strokecolor="#eae9e7">
          <v:textpath style="font-family:&quot;WeiRuanYaHei&quot;" string="zfb.zht 2022-01-21 16:55:40"/>
        </v:shape>
      </w:pict>
    </w:r>
    <w:r>
      <w:pict>
        <v:shape id="_x0000_s2273" type="#_x0000_t136" style="height:20pt;margin-left:0;margin-top:600pt;position:absolute;rotation:-40;width:100pt;z-index:251883520" fillcolor="#eae9e7" strokecolor="#eae9e7">
          <v:textpath style="font-family:&quot;WeiRuanYaHei&quot;" string="zfb.zht 2022-01-21 16:55:40"/>
        </v:shape>
      </w:pict>
    </w:r>
    <w:r>
      <w:pict>
        <v:shape id="_x0000_s2274" type="#_x0000_t136" style="height:20pt;margin-left:200pt;margin-top:0;position:absolute;rotation:-40;width:100pt;z-index:251884544" fillcolor="#eae9e7" strokecolor="#eae9e7">
          <v:textpath style="font-family:&quot;WeiRuanYaHei&quot;" string="zfb.zht 2022-01-21 16:55:40"/>
        </v:shape>
      </w:pict>
    </w:r>
    <w:r>
      <w:pict>
        <v:shape id="_x0000_s2275" type="#_x0000_t136" style="height:20pt;margin-left:200pt;margin-top:200pt;position:absolute;rotation:-40;width:100pt;z-index:251885568" fillcolor="#eae9e7" strokecolor="#eae9e7">
          <v:textpath style="font-family:&quot;WeiRuanYaHei&quot;" string="zfb.zht 2022-01-21 16:55:40"/>
        </v:shape>
      </w:pict>
    </w:r>
    <w:r>
      <w:pict>
        <v:shape id="_x0000_s2276" type="#_x0000_t136" style="height:20pt;margin-left:200pt;margin-top:400pt;position:absolute;rotation:-40;width:100pt;z-index:251886592" fillcolor="#eae9e7" strokecolor="#eae9e7">
          <v:textpath style="font-family:&quot;WeiRuanYaHei&quot;" string="zfb.zht 2022-01-21 16:55:40"/>
        </v:shape>
      </w:pict>
    </w:r>
    <w:r>
      <w:pict>
        <v:shape id="_x0000_s2277" type="#_x0000_t136" style="height:20pt;margin-left:200pt;margin-top:600pt;position:absolute;rotation:-40;width:100pt;z-index:251887616" fillcolor="#eae9e7" strokecolor="#eae9e7">
          <v:textpath style="font-family:&quot;WeiRuanYaHei&quot;" string="zfb.zht 2022-01-21 16:55:40"/>
        </v:shape>
      </w:pict>
    </w:r>
    <w:r>
      <w:pict>
        <v:shape id="_x0000_s2278" type="#_x0000_t136" style="height:20pt;margin-left:400pt;margin-top:0;position:absolute;rotation:-40;width:100pt;z-index:251888640" fillcolor="#eae9e7" strokecolor="#eae9e7">
          <v:textpath style="font-family:&quot;WeiRuanYaHei&quot;" string="zfb.zht 2022-01-21 16:55:40"/>
        </v:shape>
      </w:pict>
    </w:r>
    <w:r>
      <w:pict>
        <v:shape id="_x0000_s2279" type="#_x0000_t136" style="height:20pt;margin-left:400pt;margin-top:200pt;position:absolute;rotation:-40;width:100pt;z-index:251889664" fillcolor="#eae9e7" strokecolor="#eae9e7">
          <v:textpath style="font-family:&quot;WeiRuanYaHei&quot;" string="zfb.zht 2022-01-21 16:55:40"/>
        </v:shape>
      </w:pict>
    </w:r>
    <w:r>
      <w:pict>
        <v:shape id="_x0000_s2280" type="#_x0000_t136" style="height:20pt;margin-left:400pt;margin-top:400pt;position:absolute;rotation:-40;width:100pt;z-index:251890688" fillcolor="#eae9e7" strokecolor="#eae9e7">
          <v:textpath style="font-family:&quot;WeiRuanYaHei&quot;" string="zfb.zht 2022-01-21 16:55:40"/>
        </v:shape>
      </w:pict>
    </w:r>
    <w:r>
      <w:pict>
        <v:shape id="_x0000_s2281" type="#_x0000_t136" style="height:20pt;margin-left:400pt;margin-top:600pt;position:absolute;rotation:-40;width:100pt;z-index:251891712" fillcolor="#eae9e7" strokecolor="#eae9e7">
          <v:textpath style="font-family:&quot;WeiRuanYaHei&quot;" string="zfb.zht 2022-01-21 16:55:40"/>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82" type="#_x0000_t136" style="height:20pt;margin-left:0;margin-top:0;position:absolute;rotation:-40;width:100pt;z-index:251892736" fillcolor="#eae9e7" strokecolor="#eae9e7">
          <v:textpath style="font-family:&quot;WeiRuanYaHei&quot;" string="zfb.zht 2022-01-21 16:55:40"/>
        </v:shape>
      </w:pict>
    </w:r>
    <w:r>
      <w:pict>
        <v:shape id="_x0000_s2283" type="#_x0000_t136" style="height:20pt;margin-left:0;margin-top:200pt;position:absolute;rotation:-40;width:100pt;z-index:251893760" fillcolor="#eae9e7" strokecolor="#eae9e7">
          <v:textpath style="font-family:&quot;WeiRuanYaHei&quot;" string="zfb.zht 2022-01-21 16:55:40"/>
        </v:shape>
      </w:pict>
    </w:r>
    <w:r>
      <w:pict>
        <v:shape id="_x0000_s2284" type="#_x0000_t136" style="height:20pt;margin-left:0;margin-top:400pt;position:absolute;rotation:-40;width:100pt;z-index:251894784" fillcolor="#eae9e7" strokecolor="#eae9e7">
          <v:textpath style="font-family:&quot;WeiRuanYaHei&quot;" string="zfb.zht 2022-01-21 16:55:40"/>
        </v:shape>
      </w:pict>
    </w:r>
    <w:r>
      <w:pict>
        <v:shape id="_x0000_s2285" type="#_x0000_t136" style="height:20pt;margin-left:0;margin-top:600pt;position:absolute;rotation:-40;width:100pt;z-index:251895808" fillcolor="#eae9e7" strokecolor="#eae9e7">
          <v:textpath style="font-family:&quot;WeiRuanYaHei&quot;" string="zfb.zht 2022-01-21 16:55:40"/>
        </v:shape>
      </w:pict>
    </w:r>
    <w:r>
      <w:pict>
        <v:shape id="_x0000_s2286" type="#_x0000_t136" style="height:20pt;margin-left:200pt;margin-top:0;position:absolute;rotation:-40;width:100pt;z-index:251896832" fillcolor="#eae9e7" strokecolor="#eae9e7">
          <v:textpath style="font-family:&quot;WeiRuanYaHei&quot;" string="zfb.zht 2022-01-21 16:55:40"/>
        </v:shape>
      </w:pict>
    </w:r>
    <w:r>
      <w:pict>
        <v:shape id="_x0000_s2287" type="#_x0000_t136" style="height:20pt;margin-left:200pt;margin-top:200pt;position:absolute;rotation:-40;width:100pt;z-index:251897856" fillcolor="#eae9e7" strokecolor="#eae9e7">
          <v:textpath style="font-family:&quot;WeiRuanYaHei&quot;" string="zfb.zht 2022-01-21 16:55:40"/>
        </v:shape>
      </w:pict>
    </w:r>
    <w:r>
      <w:pict>
        <v:shape id="_x0000_s2288" type="#_x0000_t136" style="height:20pt;margin-left:200pt;margin-top:400pt;position:absolute;rotation:-40;width:100pt;z-index:251898880" fillcolor="#eae9e7" strokecolor="#eae9e7">
          <v:textpath style="font-family:&quot;WeiRuanYaHei&quot;" string="zfb.zht 2022-01-21 16:55:40"/>
        </v:shape>
      </w:pict>
    </w:r>
    <w:r>
      <w:pict>
        <v:shape id="_x0000_s2289" type="#_x0000_t136" style="height:20pt;margin-left:200pt;margin-top:600pt;position:absolute;rotation:-40;width:100pt;z-index:251899904" fillcolor="#eae9e7" strokecolor="#eae9e7">
          <v:textpath style="font-family:&quot;WeiRuanYaHei&quot;" string="zfb.zht 2022-01-21 16:55:40"/>
        </v:shape>
      </w:pict>
    </w:r>
    <w:r>
      <w:pict>
        <v:shape id="_x0000_s2290" type="#_x0000_t136" style="height:20pt;margin-left:400pt;margin-top:0;position:absolute;rotation:-40;width:100pt;z-index:251900928" fillcolor="#eae9e7" strokecolor="#eae9e7">
          <v:textpath style="font-family:&quot;WeiRuanYaHei&quot;" string="zfb.zht 2022-01-21 16:55:40"/>
        </v:shape>
      </w:pict>
    </w:r>
    <w:r>
      <w:pict>
        <v:shape id="_x0000_s2291" type="#_x0000_t136" style="height:20pt;margin-left:400pt;margin-top:200pt;position:absolute;rotation:-40;width:100pt;z-index:251901952" fillcolor="#eae9e7" strokecolor="#eae9e7">
          <v:textpath style="font-family:&quot;WeiRuanYaHei&quot;" string="zfb.zht 2022-01-21 16:55:40"/>
        </v:shape>
      </w:pict>
    </w:r>
    <w:r>
      <w:pict>
        <v:shape id="_x0000_s2292" type="#_x0000_t136" style="height:20pt;margin-left:400pt;margin-top:400pt;position:absolute;rotation:-40;width:100pt;z-index:251902976" fillcolor="#eae9e7" strokecolor="#eae9e7">
          <v:textpath style="font-family:&quot;WeiRuanYaHei&quot;" string="zfb.zht 2022-01-21 16:55:40"/>
        </v:shape>
      </w:pict>
    </w:r>
    <w:r>
      <w:pict>
        <v:shape id="_x0000_s2293" type="#_x0000_t136" style="height:20pt;margin-left:400pt;margin-top:600pt;position:absolute;rotation:-40;width:100pt;z-index:251904000" fillcolor="#eae9e7" strokecolor="#eae9e7">
          <v:textpath style="font-family:&quot;WeiRuanYaHei&quot;" string="zfb.zht 2022-01-21 16:55:40"/>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330" type="#_x0000_t136" style="height:20pt;margin-left:0;margin-top:0;position:absolute;rotation:-40;width:100pt;z-index:251941888" fillcolor="#eae9e7" strokecolor="#eae9e7">
          <v:textpath style="font-family:&quot;WeiRuanYaHei&quot;" string="zfb.zht 2022-01-21 16:55:40"/>
        </v:shape>
      </w:pict>
    </w:r>
    <w:r>
      <w:pict>
        <v:shape id="_x0000_s2331" type="#_x0000_t136" style="height:20pt;margin-left:0;margin-top:200pt;position:absolute;rotation:-40;width:100pt;z-index:251942912" fillcolor="#eae9e7" strokecolor="#eae9e7">
          <v:textpath style="font-family:&quot;WeiRuanYaHei&quot;" string="zfb.zht 2022-01-21 16:55:40"/>
        </v:shape>
      </w:pict>
    </w:r>
    <w:r>
      <w:pict>
        <v:shape id="_x0000_s2332" type="#_x0000_t136" style="height:20pt;margin-left:0;margin-top:400pt;position:absolute;rotation:-40;width:100pt;z-index:251943936" fillcolor="#eae9e7" strokecolor="#eae9e7">
          <v:textpath style="font-family:&quot;WeiRuanYaHei&quot;" string="zfb.zht 2022-01-21 16:55:40"/>
        </v:shape>
      </w:pict>
    </w:r>
    <w:r>
      <w:pict>
        <v:shape id="_x0000_s2333" type="#_x0000_t136" style="height:20pt;margin-left:0;margin-top:600pt;position:absolute;rotation:-40;width:100pt;z-index:251944960" fillcolor="#eae9e7" strokecolor="#eae9e7">
          <v:textpath style="font-family:&quot;WeiRuanYaHei&quot;" string="zfb.zht 2022-01-21 16:55:40"/>
        </v:shape>
      </w:pict>
    </w:r>
    <w:r>
      <w:pict>
        <v:shape id="_x0000_s2334" type="#_x0000_t136" style="height:20pt;margin-left:200pt;margin-top:0;position:absolute;rotation:-40;width:100pt;z-index:251945984" fillcolor="#eae9e7" strokecolor="#eae9e7">
          <v:textpath style="font-family:&quot;WeiRuanYaHei&quot;" string="zfb.zht 2022-01-21 16:55:40"/>
        </v:shape>
      </w:pict>
    </w:r>
    <w:r>
      <w:pict>
        <v:shape id="_x0000_s2335" type="#_x0000_t136" style="height:20pt;margin-left:200pt;margin-top:200pt;position:absolute;rotation:-40;width:100pt;z-index:251947008" fillcolor="#eae9e7" strokecolor="#eae9e7">
          <v:textpath style="font-family:&quot;WeiRuanYaHei&quot;" string="zfb.zht 2022-01-21 16:55:40"/>
        </v:shape>
      </w:pict>
    </w:r>
    <w:r>
      <w:pict>
        <v:shape id="_x0000_s2336" type="#_x0000_t136" style="height:20pt;margin-left:200pt;margin-top:400pt;position:absolute;rotation:-40;width:100pt;z-index:251948032" fillcolor="#eae9e7" strokecolor="#eae9e7">
          <v:textpath style="font-family:&quot;WeiRuanYaHei&quot;" string="zfb.zht 2022-01-21 16:55:40"/>
        </v:shape>
      </w:pict>
    </w:r>
    <w:r>
      <w:pict>
        <v:shape id="_x0000_s2337" type="#_x0000_t136" style="height:20pt;margin-left:200pt;margin-top:600pt;position:absolute;rotation:-40;width:100pt;z-index:251949056" fillcolor="#eae9e7" strokecolor="#eae9e7">
          <v:textpath style="font-family:&quot;WeiRuanYaHei&quot;" string="zfb.zht 2022-01-21 16:55:40"/>
        </v:shape>
      </w:pict>
    </w:r>
    <w:r>
      <w:pict>
        <v:shape id="_x0000_s2338" type="#_x0000_t136" style="height:20pt;margin-left:400pt;margin-top:0;position:absolute;rotation:-40;width:100pt;z-index:251950080" fillcolor="#eae9e7" strokecolor="#eae9e7">
          <v:textpath style="font-family:&quot;WeiRuanYaHei&quot;" string="zfb.zht 2022-01-21 16:55:40"/>
        </v:shape>
      </w:pict>
    </w:r>
    <w:r>
      <w:pict>
        <v:shape id="_x0000_s2339" type="#_x0000_t136" style="height:20pt;margin-left:400pt;margin-top:200pt;position:absolute;rotation:-40;width:100pt;z-index:251951104" fillcolor="#eae9e7" strokecolor="#eae9e7">
          <v:textpath style="font-family:&quot;WeiRuanYaHei&quot;" string="zfb.zht 2022-01-21 16:55:40"/>
        </v:shape>
      </w:pict>
    </w:r>
    <w:r>
      <w:pict>
        <v:shape id="_x0000_s2340" type="#_x0000_t136" style="height:20pt;margin-left:400pt;margin-top:400pt;position:absolute;rotation:-40;width:100pt;z-index:251952128" fillcolor="#eae9e7" strokecolor="#eae9e7">
          <v:textpath style="font-family:&quot;WeiRuanYaHei&quot;" string="zfb.zht 2022-01-21 16:55:40"/>
        </v:shape>
      </w:pict>
    </w:r>
    <w:r>
      <w:pict>
        <v:shape id="_x0000_s2341" type="#_x0000_t136" style="height:20pt;margin-left:400pt;margin-top:600pt;position:absolute;rotation:-40;width:100pt;z-index:251953152" fillcolor="#eae9e7" strokecolor="#eae9e7">
          <v:textpath style="font-family:&quot;WeiRuanYaHei&quot;" string="zfb.zht 2022-01-21 16:55:40"/>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306" type="#_x0000_t136" style="height:20pt;margin-left:0;margin-top:0;position:absolute;rotation:-40;width:100pt;z-index:251917312" fillcolor="#eae9e7" strokecolor="#eae9e7">
          <v:textpath style="font-family:&quot;WeiRuanYaHei&quot;" string="zfb.zht 2022-01-21 16:55:40"/>
        </v:shape>
      </w:pict>
    </w:r>
    <w:r>
      <w:pict>
        <v:shape id="_x0000_s2307" type="#_x0000_t136" style="height:20pt;margin-left:0;margin-top:200pt;position:absolute;rotation:-40;width:100pt;z-index:251918336" fillcolor="#eae9e7" strokecolor="#eae9e7">
          <v:textpath style="font-family:&quot;WeiRuanYaHei&quot;" string="zfb.zht 2022-01-21 16:55:40"/>
        </v:shape>
      </w:pict>
    </w:r>
    <w:r>
      <w:pict>
        <v:shape id="_x0000_s2308" type="#_x0000_t136" style="height:20pt;margin-left:0;margin-top:400pt;position:absolute;rotation:-40;width:100pt;z-index:251919360" fillcolor="#eae9e7" strokecolor="#eae9e7">
          <v:textpath style="font-family:&quot;WeiRuanYaHei&quot;" string="zfb.zht 2022-01-21 16:55:40"/>
        </v:shape>
      </w:pict>
    </w:r>
    <w:r>
      <w:pict>
        <v:shape id="_x0000_s2309" type="#_x0000_t136" style="height:20pt;margin-left:0;margin-top:600pt;position:absolute;rotation:-40;width:100pt;z-index:251920384" fillcolor="#eae9e7" strokecolor="#eae9e7">
          <v:textpath style="font-family:&quot;WeiRuanYaHei&quot;" string="zfb.zht 2022-01-21 16:55:40"/>
        </v:shape>
      </w:pict>
    </w:r>
    <w:r>
      <w:pict>
        <v:shape id="_x0000_s2310" type="#_x0000_t136" style="height:20pt;margin-left:200pt;margin-top:0;position:absolute;rotation:-40;width:100pt;z-index:251921408" fillcolor="#eae9e7" strokecolor="#eae9e7">
          <v:textpath style="font-family:&quot;WeiRuanYaHei&quot;" string="zfb.zht 2022-01-21 16:55:40"/>
        </v:shape>
      </w:pict>
    </w:r>
    <w:r>
      <w:pict>
        <v:shape id="_x0000_s2311" type="#_x0000_t136" style="height:20pt;margin-left:200pt;margin-top:200pt;position:absolute;rotation:-40;width:100pt;z-index:251922432" fillcolor="#eae9e7" strokecolor="#eae9e7">
          <v:textpath style="font-family:&quot;WeiRuanYaHei&quot;" string="zfb.zht 2022-01-21 16:55:40"/>
        </v:shape>
      </w:pict>
    </w:r>
    <w:r>
      <w:pict>
        <v:shape id="_x0000_s2312" type="#_x0000_t136" style="height:20pt;margin-left:200pt;margin-top:400pt;position:absolute;rotation:-40;width:100pt;z-index:251923456" fillcolor="#eae9e7" strokecolor="#eae9e7">
          <v:textpath style="font-family:&quot;WeiRuanYaHei&quot;" string="zfb.zht 2022-01-21 16:55:40"/>
        </v:shape>
      </w:pict>
    </w:r>
    <w:r>
      <w:pict>
        <v:shape id="_x0000_s2313" type="#_x0000_t136" style="height:20pt;margin-left:200pt;margin-top:600pt;position:absolute;rotation:-40;width:100pt;z-index:251924480" fillcolor="#eae9e7" strokecolor="#eae9e7">
          <v:textpath style="font-family:&quot;WeiRuanYaHei&quot;" string="zfb.zht 2022-01-21 16:55:40"/>
        </v:shape>
      </w:pict>
    </w:r>
    <w:r>
      <w:pict>
        <v:shape id="_x0000_s2314" type="#_x0000_t136" style="height:20pt;margin-left:400pt;margin-top:0;position:absolute;rotation:-40;width:100pt;z-index:251925504" fillcolor="#eae9e7" strokecolor="#eae9e7">
          <v:textpath style="font-family:&quot;WeiRuanYaHei&quot;" string="zfb.zht 2022-01-21 16:55:40"/>
        </v:shape>
      </w:pict>
    </w:r>
    <w:r>
      <w:pict>
        <v:shape id="_x0000_s2315" type="#_x0000_t136" style="height:20pt;margin-left:400pt;margin-top:200pt;position:absolute;rotation:-40;width:100pt;z-index:251926528" fillcolor="#eae9e7" strokecolor="#eae9e7">
          <v:textpath style="font-family:&quot;WeiRuanYaHei&quot;" string="zfb.zht 2022-01-21 16:55:40"/>
        </v:shape>
      </w:pict>
    </w:r>
    <w:r>
      <w:pict>
        <v:shape id="_x0000_s2316" type="#_x0000_t136" style="height:20pt;margin-left:400pt;margin-top:400pt;position:absolute;rotation:-40;width:100pt;z-index:251927552" fillcolor="#eae9e7" strokecolor="#eae9e7">
          <v:textpath style="font-family:&quot;WeiRuanYaHei&quot;" string="zfb.zht 2022-01-21 16:55:40"/>
        </v:shape>
      </w:pict>
    </w:r>
    <w:r>
      <w:pict>
        <v:shape id="_x0000_s2317" type="#_x0000_t136" style="height:20pt;margin-left:400pt;margin-top:600pt;position:absolute;rotation:-40;width:100pt;z-index:251928576" fillcolor="#eae9e7" strokecolor="#eae9e7">
          <v:textpath style="font-family:&quot;WeiRuanYaHei&quot;" string="zfb.zht 2022-01-21 16:55:40"/>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318" type="#_x0000_t136" style="height:20pt;margin-left:0;margin-top:0;position:absolute;rotation:-40;width:100pt;z-index:251929600" fillcolor="#eae9e7" strokecolor="#eae9e7">
          <v:textpath style="font-family:&quot;WeiRuanYaHei&quot;" string="zfb.zht 2022-01-21 16:55:40"/>
        </v:shape>
      </w:pict>
    </w:r>
    <w:r>
      <w:pict>
        <v:shape id="_x0000_s2319" type="#_x0000_t136" style="height:20pt;margin-left:0;margin-top:200pt;position:absolute;rotation:-40;width:100pt;z-index:251930624" fillcolor="#eae9e7" strokecolor="#eae9e7">
          <v:textpath style="font-family:&quot;WeiRuanYaHei&quot;" string="zfb.zht 2022-01-21 16:55:40"/>
        </v:shape>
      </w:pict>
    </w:r>
    <w:r>
      <w:pict>
        <v:shape id="_x0000_s2320" type="#_x0000_t136" style="height:20pt;margin-left:0;margin-top:400pt;position:absolute;rotation:-40;width:100pt;z-index:251931648" fillcolor="#eae9e7" strokecolor="#eae9e7">
          <v:textpath style="font-family:&quot;WeiRuanYaHei&quot;" string="zfb.zht 2022-01-21 16:55:40"/>
        </v:shape>
      </w:pict>
    </w:r>
    <w:r>
      <w:pict>
        <v:shape id="_x0000_s2321" type="#_x0000_t136" style="height:20pt;margin-left:0;margin-top:600pt;position:absolute;rotation:-40;width:100pt;z-index:251932672" fillcolor="#eae9e7" strokecolor="#eae9e7">
          <v:textpath style="font-family:&quot;WeiRuanYaHei&quot;" string="zfb.zht 2022-01-21 16:55:40"/>
        </v:shape>
      </w:pict>
    </w:r>
    <w:r>
      <w:pict>
        <v:shape id="_x0000_s2322" type="#_x0000_t136" style="height:20pt;margin-left:200pt;margin-top:0;position:absolute;rotation:-40;width:100pt;z-index:251933696" fillcolor="#eae9e7" strokecolor="#eae9e7">
          <v:textpath style="font-family:&quot;WeiRuanYaHei&quot;" string="zfb.zht 2022-01-21 16:55:40"/>
        </v:shape>
      </w:pict>
    </w:r>
    <w:r>
      <w:pict>
        <v:shape id="_x0000_s2323" type="#_x0000_t136" style="height:20pt;margin-left:200pt;margin-top:200pt;position:absolute;rotation:-40;width:100pt;z-index:251934720" fillcolor="#eae9e7" strokecolor="#eae9e7">
          <v:textpath style="font-family:&quot;WeiRuanYaHei&quot;" string="zfb.zht 2022-01-21 16:55:40"/>
        </v:shape>
      </w:pict>
    </w:r>
    <w:r>
      <w:pict>
        <v:shape id="_x0000_s2324" type="#_x0000_t136" style="height:20pt;margin-left:200pt;margin-top:400pt;position:absolute;rotation:-40;width:100pt;z-index:251935744" fillcolor="#eae9e7" strokecolor="#eae9e7">
          <v:textpath style="font-family:&quot;WeiRuanYaHei&quot;" string="zfb.zht 2022-01-21 16:55:40"/>
        </v:shape>
      </w:pict>
    </w:r>
    <w:r>
      <w:pict>
        <v:shape id="_x0000_s2325" type="#_x0000_t136" style="height:20pt;margin-left:200pt;margin-top:600pt;position:absolute;rotation:-40;width:100pt;z-index:251936768" fillcolor="#eae9e7" strokecolor="#eae9e7">
          <v:textpath style="font-family:&quot;WeiRuanYaHei&quot;" string="zfb.zht 2022-01-21 16:55:40"/>
        </v:shape>
      </w:pict>
    </w:r>
    <w:r>
      <w:pict>
        <v:shape id="_x0000_s2326" type="#_x0000_t136" style="height:20pt;margin-left:400pt;margin-top:0;position:absolute;rotation:-40;width:100pt;z-index:251937792" fillcolor="#eae9e7" strokecolor="#eae9e7">
          <v:textpath style="font-family:&quot;WeiRuanYaHei&quot;" string="zfb.zht 2022-01-21 16:55:40"/>
        </v:shape>
      </w:pict>
    </w:r>
    <w:r>
      <w:pict>
        <v:shape id="_x0000_s2327" type="#_x0000_t136" style="height:20pt;margin-left:400pt;margin-top:200pt;position:absolute;rotation:-40;width:100pt;z-index:251938816" fillcolor="#eae9e7" strokecolor="#eae9e7">
          <v:textpath style="font-family:&quot;WeiRuanYaHei&quot;" string="zfb.zht 2022-01-21 16:55:40"/>
        </v:shape>
      </w:pict>
    </w:r>
    <w:r>
      <w:pict>
        <v:shape id="_x0000_s2328" type="#_x0000_t136" style="height:20pt;margin-left:400pt;margin-top:400pt;position:absolute;rotation:-40;width:100pt;z-index:251939840" fillcolor="#eae9e7" strokecolor="#eae9e7">
          <v:textpath style="font-family:&quot;WeiRuanYaHei&quot;" string="zfb.zht 2022-01-21 16:55:40"/>
        </v:shape>
      </w:pict>
    </w:r>
    <w:r>
      <w:pict>
        <v:shape id="_x0000_s2329" type="#_x0000_t136" style="height:20pt;margin-left:400pt;margin-top:600pt;position:absolute;rotation:-40;width:100pt;z-index:251940864" fillcolor="#eae9e7" strokecolor="#eae9e7">
          <v:textpath style="font-family:&quot;WeiRuanYaHei&quot;" string="zfb.zht 2022-01-21 16:55:40"/>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366" type="#_x0000_t136" style="height:20pt;margin-left:0;margin-top:0;position:absolute;rotation:-40;width:100pt;z-index:251978752" fillcolor="#eae9e7" strokecolor="#eae9e7">
          <v:textpath style="font-family:&quot;WeiRuanYaHei&quot;" string="zfb.zht 2022-01-21 16:55:40"/>
        </v:shape>
      </w:pict>
    </w:r>
    <w:r>
      <w:pict>
        <v:shape id="_x0000_s2367" type="#_x0000_t136" style="height:20pt;margin-left:0;margin-top:200pt;position:absolute;rotation:-40;width:100pt;z-index:251979776" fillcolor="#eae9e7" strokecolor="#eae9e7">
          <v:textpath style="font-family:&quot;WeiRuanYaHei&quot;" string="zfb.zht 2022-01-21 16:55:40"/>
        </v:shape>
      </w:pict>
    </w:r>
    <w:r>
      <w:pict>
        <v:shape id="_x0000_s2368" type="#_x0000_t136" style="height:20pt;margin-left:0;margin-top:400pt;position:absolute;rotation:-40;width:100pt;z-index:251980800" fillcolor="#eae9e7" strokecolor="#eae9e7">
          <v:textpath style="font-family:&quot;WeiRuanYaHei&quot;" string="zfb.zht 2022-01-21 16:55:40"/>
        </v:shape>
      </w:pict>
    </w:r>
    <w:r>
      <w:pict>
        <v:shape id="_x0000_s2369" type="#_x0000_t136" style="height:20pt;margin-left:0;margin-top:600pt;position:absolute;rotation:-40;width:100pt;z-index:251981824" fillcolor="#eae9e7" strokecolor="#eae9e7">
          <v:textpath style="font-family:&quot;WeiRuanYaHei&quot;" string="zfb.zht 2022-01-21 16:55:40"/>
        </v:shape>
      </w:pict>
    </w:r>
    <w:r>
      <w:pict>
        <v:shape id="_x0000_s2370" type="#_x0000_t136" style="height:20pt;margin-left:200pt;margin-top:0;position:absolute;rotation:-40;width:100pt;z-index:251982848" fillcolor="#eae9e7" strokecolor="#eae9e7">
          <v:textpath style="font-family:&quot;WeiRuanYaHei&quot;" string="zfb.zht 2022-01-21 16:55:40"/>
        </v:shape>
      </w:pict>
    </w:r>
    <w:r>
      <w:pict>
        <v:shape id="_x0000_s2371" type="#_x0000_t136" style="height:20pt;margin-left:200pt;margin-top:200pt;position:absolute;rotation:-40;width:100pt;z-index:251983872" fillcolor="#eae9e7" strokecolor="#eae9e7">
          <v:textpath style="font-family:&quot;WeiRuanYaHei&quot;" string="zfb.zht 2022-01-21 16:55:40"/>
        </v:shape>
      </w:pict>
    </w:r>
    <w:r>
      <w:pict>
        <v:shape id="_x0000_s2372" type="#_x0000_t136" style="height:20pt;margin-left:200pt;margin-top:400pt;position:absolute;rotation:-40;width:100pt;z-index:251984896" fillcolor="#eae9e7" strokecolor="#eae9e7">
          <v:textpath style="font-family:&quot;WeiRuanYaHei&quot;" string="zfb.zht 2022-01-21 16:55:40"/>
        </v:shape>
      </w:pict>
    </w:r>
    <w:r>
      <w:pict>
        <v:shape id="_x0000_s2373" type="#_x0000_t136" style="height:20pt;margin-left:200pt;margin-top:600pt;position:absolute;rotation:-40;width:100pt;z-index:251985920" fillcolor="#eae9e7" strokecolor="#eae9e7">
          <v:textpath style="font-family:&quot;WeiRuanYaHei&quot;" string="zfb.zht 2022-01-21 16:55:40"/>
        </v:shape>
      </w:pict>
    </w:r>
    <w:r>
      <w:pict>
        <v:shape id="_x0000_s2374" type="#_x0000_t136" style="height:20pt;margin-left:400pt;margin-top:0;position:absolute;rotation:-40;width:100pt;z-index:251986944" fillcolor="#eae9e7" strokecolor="#eae9e7">
          <v:textpath style="font-family:&quot;WeiRuanYaHei&quot;" string="zfb.zht 2022-01-21 16:55:40"/>
        </v:shape>
      </w:pict>
    </w:r>
    <w:r>
      <w:pict>
        <v:shape id="_x0000_s2375" type="#_x0000_t136" style="height:20pt;margin-left:400pt;margin-top:200pt;position:absolute;rotation:-40;width:100pt;z-index:251987968" fillcolor="#eae9e7" strokecolor="#eae9e7">
          <v:textpath style="font-family:&quot;WeiRuanYaHei&quot;" string="zfb.zht 2022-01-21 16:55:40"/>
        </v:shape>
      </w:pict>
    </w:r>
    <w:r>
      <w:pict>
        <v:shape id="_x0000_s2376" type="#_x0000_t136" style="height:20pt;margin-left:400pt;margin-top:400pt;position:absolute;rotation:-40;width:100pt;z-index:251988992" fillcolor="#eae9e7" strokecolor="#eae9e7">
          <v:textpath style="font-family:&quot;WeiRuanYaHei&quot;" string="zfb.zht 2022-01-21 16:55:40"/>
        </v:shape>
      </w:pict>
    </w:r>
    <w:r>
      <w:pict>
        <v:shape id="_x0000_s2377" type="#_x0000_t136" style="height:20pt;margin-left:400pt;margin-top:600pt;position:absolute;rotation:-40;width:100pt;z-index:251990016" fillcolor="#eae9e7" strokecolor="#eae9e7">
          <v:textpath style="font-family:&quot;WeiRuanYaHei&quot;" string="zfb.zht 2022-01-21 16:55:40"/>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342" type="#_x0000_t136" style="height:20pt;margin-left:0;margin-top:0;position:absolute;rotation:-40;width:100pt;z-index:251954176" fillcolor="#eae9e7" strokecolor="#eae9e7">
          <v:textpath style="font-family:&quot;WeiRuanYaHei&quot;" string="zfb.zht 2022-01-21 16:55:40"/>
        </v:shape>
      </w:pict>
    </w:r>
    <w:r>
      <w:pict>
        <v:shape id="_x0000_s2343" type="#_x0000_t136" style="height:20pt;margin-left:0;margin-top:200pt;position:absolute;rotation:-40;width:100pt;z-index:251955200" fillcolor="#eae9e7" strokecolor="#eae9e7">
          <v:textpath style="font-family:&quot;WeiRuanYaHei&quot;" string="zfb.zht 2022-01-21 16:55:40"/>
        </v:shape>
      </w:pict>
    </w:r>
    <w:r>
      <w:pict>
        <v:shape id="_x0000_s2344" type="#_x0000_t136" style="height:20pt;margin-left:0;margin-top:400pt;position:absolute;rotation:-40;width:100pt;z-index:251956224" fillcolor="#eae9e7" strokecolor="#eae9e7">
          <v:textpath style="font-family:&quot;WeiRuanYaHei&quot;" string="zfb.zht 2022-01-21 16:55:40"/>
        </v:shape>
      </w:pict>
    </w:r>
    <w:r>
      <w:pict>
        <v:shape id="_x0000_s2345" type="#_x0000_t136" style="height:20pt;margin-left:0;margin-top:600pt;position:absolute;rotation:-40;width:100pt;z-index:251957248" fillcolor="#eae9e7" strokecolor="#eae9e7">
          <v:textpath style="font-family:&quot;WeiRuanYaHei&quot;" string="zfb.zht 2022-01-21 16:55:40"/>
        </v:shape>
      </w:pict>
    </w:r>
    <w:r>
      <w:pict>
        <v:shape id="_x0000_s2346" type="#_x0000_t136" style="height:20pt;margin-left:200pt;margin-top:0;position:absolute;rotation:-40;width:100pt;z-index:251958272" fillcolor="#eae9e7" strokecolor="#eae9e7">
          <v:textpath style="font-family:&quot;WeiRuanYaHei&quot;" string="zfb.zht 2022-01-21 16:55:40"/>
        </v:shape>
      </w:pict>
    </w:r>
    <w:r>
      <w:pict>
        <v:shape id="_x0000_s2347" type="#_x0000_t136" style="height:20pt;margin-left:200pt;margin-top:200pt;position:absolute;rotation:-40;width:100pt;z-index:251959296" fillcolor="#eae9e7" strokecolor="#eae9e7">
          <v:textpath style="font-family:&quot;WeiRuanYaHei&quot;" string="zfb.zht 2022-01-21 16:55:40"/>
        </v:shape>
      </w:pict>
    </w:r>
    <w:r>
      <w:pict>
        <v:shape id="_x0000_s2348" type="#_x0000_t136" style="height:20pt;margin-left:200pt;margin-top:400pt;position:absolute;rotation:-40;width:100pt;z-index:251960320" fillcolor="#eae9e7" strokecolor="#eae9e7">
          <v:textpath style="font-family:&quot;WeiRuanYaHei&quot;" string="zfb.zht 2022-01-21 16:55:40"/>
        </v:shape>
      </w:pict>
    </w:r>
    <w:r>
      <w:pict>
        <v:shape id="_x0000_s2349" type="#_x0000_t136" style="height:20pt;margin-left:200pt;margin-top:600pt;position:absolute;rotation:-40;width:100pt;z-index:251961344" fillcolor="#eae9e7" strokecolor="#eae9e7">
          <v:textpath style="font-family:&quot;WeiRuanYaHei&quot;" string="zfb.zht 2022-01-21 16:55:40"/>
        </v:shape>
      </w:pict>
    </w:r>
    <w:r>
      <w:pict>
        <v:shape id="_x0000_s2350" type="#_x0000_t136" style="height:20pt;margin-left:400pt;margin-top:0;position:absolute;rotation:-40;width:100pt;z-index:251962368" fillcolor="#eae9e7" strokecolor="#eae9e7">
          <v:textpath style="font-family:&quot;WeiRuanYaHei&quot;" string="zfb.zht 2022-01-21 16:55:40"/>
        </v:shape>
      </w:pict>
    </w:r>
    <w:r>
      <w:pict>
        <v:shape id="_x0000_s2351" type="#_x0000_t136" style="height:20pt;margin-left:400pt;margin-top:200pt;position:absolute;rotation:-40;width:100pt;z-index:251963392" fillcolor="#eae9e7" strokecolor="#eae9e7">
          <v:textpath style="font-family:&quot;WeiRuanYaHei&quot;" string="zfb.zht 2022-01-21 16:55:40"/>
        </v:shape>
      </w:pict>
    </w:r>
    <w:r>
      <w:pict>
        <v:shape id="_x0000_s2352" type="#_x0000_t136" style="height:20pt;margin-left:400pt;margin-top:400pt;position:absolute;rotation:-40;width:100pt;z-index:251964416" fillcolor="#eae9e7" strokecolor="#eae9e7">
          <v:textpath style="font-family:&quot;WeiRuanYaHei&quot;" string="zfb.zht 2022-01-21 16:55:40"/>
        </v:shape>
      </w:pict>
    </w:r>
    <w:r>
      <w:pict>
        <v:shape id="_x0000_s2353" type="#_x0000_t136" style="height:20pt;margin-left:400pt;margin-top:600pt;position:absolute;rotation:-40;width:100pt;z-index:251965440" fillcolor="#eae9e7" strokecolor="#eae9e7">
          <v:textpath style="font-family:&quot;WeiRuanYaHei&quot;" string="zfb.zht 2022-01-21 16:55:40"/>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354" type="#_x0000_t136" style="height:20pt;margin-left:0;margin-top:0;position:absolute;rotation:-40;width:100pt;z-index:251966464" fillcolor="#eae9e7" strokecolor="#eae9e7">
          <v:textpath style="font-family:&quot;WeiRuanYaHei&quot;" string="zfb.zht 2022-01-21 16:55:40"/>
        </v:shape>
      </w:pict>
    </w:r>
    <w:r>
      <w:pict>
        <v:shape id="_x0000_s2355" type="#_x0000_t136" style="height:20pt;margin-left:0;margin-top:200pt;position:absolute;rotation:-40;width:100pt;z-index:251967488" fillcolor="#eae9e7" strokecolor="#eae9e7">
          <v:textpath style="font-family:&quot;WeiRuanYaHei&quot;" string="zfb.zht 2022-01-21 16:55:40"/>
        </v:shape>
      </w:pict>
    </w:r>
    <w:r>
      <w:pict>
        <v:shape id="_x0000_s2356" type="#_x0000_t136" style="height:20pt;margin-left:0;margin-top:400pt;position:absolute;rotation:-40;width:100pt;z-index:251968512" fillcolor="#eae9e7" strokecolor="#eae9e7">
          <v:textpath style="font-family:&quot;WeiRuanYaHei&quot;" string="zfb.zht 2022-01-21 16:55:40"/>
        </v:shape>
      </w:pict>
    </w:r>
    <w:r>
      <w:pict>
        <v:shape id="_x0000_s2357" type="#_x0000_t136" style="height:20pt;margin-left:0;margin-top:600pt;position:absolute;rotation:-40;width:100pt;z-index:251969536" fillcolor="#eae9e7" strokecolor="#eae9e7">
          <v:textpath style="font-family:&quot;WeiRuanYaHei&quot;" string="zfb.zht 2022-01-21 16:55:40"/>
        </v:shape>
      </w:pict>
    </w:r>
    <w:r>
      <w:pict>
        <v:shape id="_x0000_s2358" type="#_x0000_t136" style="height:20pt;margin-left:200pt;margin-top:0;position:absolute;rotation:-40;width:100pt;z-index:251970560" fillcolor="#eae9e7" strokecolor="#eae9e7">
          <v:textpath style="font-family:&quot;WeiRuanYaHei&quot;" string="zfb.zht 2022-01-21 16:55:40"/>
        </v:shape>
      </w:pict>
    </w:r>
    <w:r>
      <w:pict>
        <v:shape id="_x0000_s2359" type="#_x0000_t136" style="height:20pt;margin-left:200pt;margin-top:200pt;position:absolute;rotation:-40;width:100pt;z-index:251971584" fillcolor="#eae9e7" strokecolor="#eae9e7">
          <v:textpath style="font-family:&quot;WeiRuanYaHei&quot;" string="zfb.zht 2022-01-21 16:55:40"/>
        </v:shape>
      </w:pict>
    </w:r>
    <w:r>
      <w:pict>
        <v:shape id="_x0000_s2360" type="#_x0000_t136" style="height:20pt;margin-left:200pt;margin-top:400pt;position:absolute;rotation:-40;width:100pt;z-index:251972608" fillcolor="#eae9e7" strokecolor="#eae9e7">
          <v:textpath style="font-family:&quot;WeiRuanYaHei&quot;" string="zfb.zht 2022-01-21 16:55:40"/>
        </v:shape>
      </w:pict>
    </w:r>
    <w:r>
      <w:pict>
        <v:shape id="_x0000_s2361" type="#_x0000_t136" style="height:20pt;margin-left:200pt;margin-top:600pt;position:absolute;rotation:-40;width:100pt;z-index:251973632" fillcolor="#eae9e7" strokecolor="#eae9e7">
          <v:textpath style="font-family:&quot;WeiRuanYaHei&quot;" string="zfb.zht 2022-01-21 16:55:40"/>
        </v:shape>
      </w:pict>
    </w:r>
    <w:r>
      <w:pict>
        <v:shape id="_x0000_s2362" type="#_x0000_t136" style="height:20pt;margin-left:400pt;margin-top:0;position:absolute;rotation:-40;width:100pt;z-index:251974656" fillcolor="#eae9e7" strokecolor="#eae9e7">
          <v:textpath style="font-family:&quot;WeiRuanYaHei&quot;" string="zfb.zht 2022-01-21 16:55:40"/>
        </v:shape>
      </w:pict>
    </w:r>
    <w:r>
      <w:pict>
        <v:shape id="_x0000_s2363" type="#_x0000_t136" style="height:20pt;margin-left:400pt;margin-top:200pt;position:absolute;rotation:-40;width:100pt;z-index:251975680" fillcolor="#eae9e7" strokecolor="#eae9e7">
          <v:textpath style="font-family:&quot;WeiRuanYaHei&quot;" string="zfb.zht 2022-01-21 16:55:40"/>
        </v:shape>
      </w:pict>
    </w:r>
    <w:r>
      <w:pict>
        <v:shape id="_x0000_s2364" type="#_x0000_t136" style="height:20pt;margin-left:400pt;margin-top:400pt;position:absolute;rotation:-40;width:100pt;z-index:251976704" fillcolor="#eae9e7" strokecolor="#eae9e7">
          <v:textpath style="font-family:&quot;WeiRuanYaHei&quot;" string="zfb.zht 2022-01-21 16:55:40"/>
        </v:shape>
      </w:pict>
    </w:r>
    <w:r>
      <w:pict>
        <v:shape id="_x0000_s2365" type="#_x0000_t136" style="height:20pt;margin-left:400pt;margin-top:600pt;position:absolute;rotation:-40;width:100pt;z-index:251977728" fillcolor="#eae9e7" strokecolor="#eae9e7">
          <v:textpath style="font-family:&quot;WeiRuanYaHei&quot;" string="zfb.zht 2022-01-21 16:55:40"/>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403" type="#_x0000_t136" style="height:20pt;margin-left:0;margin-top:0;position:absolute;rotation:-40;width:100pt;z-index:252015616" fillcolor="#eae9e7" strokecolor="#eae9e7">
          <v:textpath style="font-family:&quot;WeiRuanYaHei&quot;" string="zfb.zht 2022-01-21 16:55:40"/>
        </v:shape>
      </w:pict>
    </w:r>
    <w:r>
      <w:pict>
        <v:shape id="_x0000_s2404" type="#_x0000_t136" style="height:20pt;margin-left:0;margin-top:200pt;position:absolute;rotation:-40;width:100pt;z-index:252016640" fillcolor="#eae9e7" strokecolor="#eae9e7">
          <v:textpath style="font-family:&quot;WeiRuanYaHei&quot;" string="zfb.zht 2022-01-21 16:55:40"/>
        </v:shape>
      </w:pict>
    </w:r>
    <w:r>
      <w:pict>
        <v:shape id="_x0000_s2405" type="#_x0000_t136" style="height:20pt;margin-left:0;margin-top:400pt;position:absolute;rotation:-40;width:100pt;z-index:252017664" fillcolor="#eae9e7" strokecolor="#eae9e7">
          <v:textpath style="font-family:&quot;WeiRuanYaHei&quot;" string="zfb.zht 2022-01-21 16:55:40"/>
        </v:shape>
      </w:pict>
    </w:r>
    <w:r>
      <w:pict>
        <v:shape id="_x0000_s2406" type="#_x0000_t136" style="height:20pt;margin-left:0;margin-top:600pt;position:absolute;rotation:-40;width:100pt;z-index:252018688" fillcolor="#eae9e7" strokecolor="#eae9e7">
          <v:textpath style="font-family:&quot;WeiRuanYaHei&quot;" string="zfb.zht 2022-01-21 16:55:40"/>
        </v:shape>
      </w:pict>
    </w:r>
    <w:r>
      <w:pict>
        <v:shape id="_x0000_s2407" type="#_x0000_t136" style="height:20pt;margin-left:200pt;margin-top:0;position:absolute;rotation:-40;width:100pt;z-index:252019712" fillcolor="#eae9e7" strokecolor="#eae9e7">
          <v:textpath style="font-family:&quot;WeiRuanYaHei&quot;" string="zfb.zht 2022-01-21 16:55:40"/>
        </v:shape>
      </w:pict>
    </w:r>
    <w:r>
      <w:pict>
        <v:shape id="_x0000_s2408" type="#_x0000_t136" style="height:20pt;margin-left:200pt;margin-top:200pt;position:absolute;rotation:-40;width:100pt;z-index:252020736" fillcolor="#eae9e7" strokecolor="#eae9e7">
          <v:textpath style="font-family:&quot;WeiRuanYaHei&quot;" string="zfb.zht 2022-01-21 16:55:40"/>
        </v:shape>
      </w:pict>
    </w:r>
    <w:r>
      <w:pict>
        <v:shape id="_x0000_s2409" type="#_x0000_t136" style="height:20pt;margin-left:200pt;margin-top:400pt;position:absolute;rotation:-40;width:100pt;z-index:252021760" fillcolor="#eae9e7" strokecolor="#eae9e7">
          <v:textpath style="font-family:&quot;WeiRuanYaHei&quot;" string="zfb.zht 2022-01-21 16:55:40"/>
        </v:shape>
      </w:pict>
    </w:r>
    <w:r>
      <w:pict>
        <v:shape id="_x0000_s2410" type="#_x0000_t136" style="height:20pt;margin-left:200pt;margin-top:600pt;position:absolute;rotation:-40;width:100pt;z-index:252022784" fillcolor="#eae9e7" strokecolor="#eae9e7">
          <v:textpath style="font-family:&quot;WeiRuanYaHei&quot;" string="zfb.zht 2022-01-21 16:55:40"/>
        </v:shape>
      </w:pict>
    </w:r>
    <w:r>
      <w:pict>
        <v:shape id="_x0000_s2411" type="#_x0000_t136" style="height:20pt;margin-left:400pt;margin-top:0;position:absolute;rotation:-40;width:100pt;z-index:252023808" fillcolor="#eae9e7" strokecolor="#eae9e7">
          <v:textpath style="font-family:&quot;WeiRuanYaHei&quot;" string="zfb.zht 2022-01-21 16:55:40"/>
        </v:shape>
      </w:pict>
    </w:r>
    <w:r>
      <w:pict>
        <v:shape id="_x0000_s2412" type="#_x0000_t136" style="height:20pt;margin-left:400pt;margin-top:200pt;position:absolute;rotation:-40;width:100pt;z-index:252024832" fillcolor="#eae9e7" strokecolor="#eae9e7">
          <v:textpath style="font-family:&quot;WeiRuanYaHei&quot;" string="zfb.zht 2022-01-21 16:55:40"/>
        </v:shape>
      </w:pict>
    </w:r>
    <w:r>
      <w:pict>
        <v:shape id="_x0000_s2413" type="#_x0000_t136" style="height:20pt;margin-left:400pt;margin-top:400pt;position:absolute;rotation:-40;width:100pt;z-index:252025856" fillcolor="#eae9e7" strokecolor="#eae9e7">
          <v:textpath style="font-family:&quot;WeiRuanYaHei&quot;" string="zfb.zht 2022-01-21 16:55:40"/>
        </v:shape>
      </w:pict>
    </w:r>
    <w:r>
      <w:pict>
        <v:shape id="_x0000_s2414" type="#_x0000_t136" style="height:20pt;margin-left:400pt;margin-top:600pt;position:absolute;rotation:-40;width:100pt;z-index:252026880" fillcolor="#eae9e7" strokecolor="#eae9e7">
          <v:textpath style="font-family:&quot;WeiRuanYaHei&quot;" string="zfb.zht 2022-01-21 16:55:40"/>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379" type="#_x0000_t136" style="height:20pt;margin-left:0;margin-top:0;position:absolute;rotation:-40;width:100pt;z-index:251991040" fillcolor="#eae9e7" strokecolor="#eae9e7">
          <v:textpath style="font-family:&quot;WeiRuanYaHei&quot;" string="zfb.zht 2022-01-21 16:55:40"/>
        </v:shape>
      </w:pict>
    </w:r>
    <w:r>
      <w:pict>
        <v:shape id="_x0000_s2380" type="#_x0000_t136" style="height:20pt;margin-left:0;margin-top:200pt;position:absolute;rotation:-40;width:100pt;z-index:251992064" fillcolor="#eae9e7" strokecolor="#eae9e7">
          <v:textpath style="font-family:&quot;WeiRuanYaHei&quot;" string="zfb.zht 2022-01-21 16:55:40"/>
        </v:shape>
      </w:pict>
    </w:r>
    <w:r>
      <w:pict>
        <v:shape id="_x0000_s2381" type="#_x0000_t136" style="height:20pt;margin-left:0;margin-top:400pt;position:absolute;rotation:-40;width:100pt;z-index:251993088" fillcolor="#eae9e7" strokecolor="#eae9e7">
          <v:textpath style="font-family:&quot;WeiRuanYaHei&quot;" string="zfb.zht 2022-01-21 16:55:40"/>
        </v:shape>
      </w:pict>
    </w:r>
    <w:r>
      <w:pict>
        <v:shape id="_x0000_s2382" type="#_x0000_t136" style="height:20pt;margin-left:0;margin-top:600pt;position:absolute;rotation:-40;width:100pt;z-index:251994112" fillcolor="#eae9e7" strokecolor="#eae9e7">
          <v:textpath style="font-family:&quot;WeiRuanYaHei&quot;" string="zfb.zht 2022-01-21 16:55:40"/>
        </v:shape>
      </w:pict>
    </w:r>
    <w:r>
      <w:pict>
        <v:shape id="_x0000_s2383" type="#_x0000_t136" style="height:20pt;margin-left:200pt;margin-top:0;position:absolute;rotation:-40;width:100pt;z-index:251995136" fillcolor="#eae9e7" strokecolor="#eae9e7">
          <v:textpath style="font-family:&quot;WeiRuanYaHei&quot;" string="zfb.zht 2022-01-21 16:55:40"/>
        </v:shape>
      </w:pict>
    </w:r>
    <w:r>
      <w:pict>
        <v:shape id="_x0000_s2384" type="#_x0000_t136" style="height:20pt;margin-left:200pt;margin-top:200pt;position:absolute;rotation:-40;width:100pt;z-index:251996160" fillcolor="#eae9e7" strokecolor="#eae9e7">
          <v:textpath style="font-family:&quot;WeiRuanYaHei&quot;" string="zfb.zht 2022-01-21 16:55:40"/>
        </v:shape>
      </w:pict>
    </w:r>
    <w:r>
      <w:pict>
        <v:shape id="_x0000_s2385" type="#_x0000_t136" style="height:20pt;margin-left:200pt;margin-top:400pt;position:absolute;rotation:-40;width:100pt;z-index:251997184" fillcolor="#eae9e7" strokecolor="#eae9e7">
          <v:textpath style="font-family:&quot;WeiRuanYaHei&quot;" string="zfb.zht 2022-01-21 16:55:40"/>
        </v:shape>
      </w:pict>
    </w:r>
    <w:r>
      <w:pict>
        <v:shape id="_x0000_s2386" type="#_x0000_t136" style="height:20pt;margin-left:200pt;margin-top:600pt;position:absolute;rotation:-40;width:100pt;z-index:251998208" fillcolor="#eae9e7" strokecolor="#eae9e7">
          <v:textpath style="font-family:&quot;WeiRuanYaHei&quot;" string="zfb.zht 2022-01-21 16:55:40"/>
        </v:shape>
      </w:pict>
    </w:r>
    <w:r>
      <w:pict>
        <v:shape id="_x0000_s2387" type="#_x0000_t136" style="height:20pt;margin-left:400pt;margin-top:0;position:absolute;rotation:-40;width:100pt;z-index:251999232" fillcolor="#eae9e7" strokecolor="#eae9e7">
          <v:textpath style="font-family:&quot;WeiRuanYaHei&quot;" string="zfb.zht 2022-01-21 16:55:40"/>
        </v:shape>
      </w:pict>
    </w:r>
    <w:r>
      <w:pict>
        <v:shape id="_x0000_s2388" type="#_x0000_t136" style="height:20pt;margin-left:400pt;margin-top:200pt;position:absolute;rotation:-40;width:100pt;z-index:252000256" fillcolor="#eae9e7" strokecolor="#eae9e7">
          <v:textpath style="font-family:&quot;WeiRuanYaHei&quot;" string="zfb.zht 2022-01-21 16:55:40"/>
        </v:shape>
      </w:pict>
    </w:r>
    <w:r>
      <w:pict>
        <v:shape id="_x0000_s2389" type="#_x0000_t136" style="height:20pt;margin-left:400pt;margin-top:400pt;position:absolute;rotation:-40;width:100pt;z-index:252001280" fillcolor="#eae9e7" strokecolor="#eae9e7">
          <v:textpath style="font-family:&quot;WeiRuanYaHei&quot;" string="zfb.zht 2022-01-21 16:55:40"/>
        </v:shape>
      </w:pict>
    </w:r>
    <w:r>
      <w:pict>
        <v:shape id="_x0000_s2390" type="#_x0000_t136" style="height:20pt;margin-left:400pt;margin-top:600pt;position:absolute;rotation:-40;width:100pt;z-index:252002304" fillcolor="#eae9e7" strokecolor="#eae9e7">
          <v:textpath style="font-family:&quot;WeiRuanYaHei&quot;" string="zfb.zht 2022-01-21 16:55:40"/>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1" type="#_x0000_t136" style="height:20pt;margin-left:0;margin-top:0;position:absolute;rotation:-40;width:100pt;z-index:251670528" fillcolor="#eae9e7" strokecolor="#eae9e7">
          <v:textpath style="font-family:&quot;WeiRuanYaHei&quot;" string="zfb.zht 2022-01-21 16:55:40"/>
        </v:shape>
      </w:pict>
    </w:r>
    <w:r>
      <w:pict>
        <v:shape id="_x0000_s2062" type="#_x0000_t136" style="height:20pt;margin-left:0;margin-top:200pt;position:absolute;rotation:-40;width:100pt;z-index:251671552" fillcolor="#eae9e7" strokecolor="#eae9e7">
          <v:textpath style="font-family:&quot;WeiRuanYaHei&quot;" string="zfb.zht 2022-01-21 16:55:40"/>
        </v:shape>
      </w:pict>
    </w:r>
    <w:r>
      <w:pict>
        <v:shape id="_x0000_s2063" type="#_x0000_t136" style="height:20pt;margin-left:0;margin-top:400pt;position:absolute;rotation:-40;width:100pt;z-index:251672576" fillcolor="#eae9e7" strokecolor="#eae9e7">
          <v:textpath style="font-family:&quot;WeiRuanYaHei&quot;" string="zfb.zht 2022-01-21 16:55:40"/>
        </v:shape>
      </w:pict>
    </w:r>
    <w:r>
      <w:pict>
        <v:shape id="_x0000_s2064" type="#_x0000_t136" style="height:20pt;margin-left:0;margin-top:600pt;position:absolute;rotation:-40;width:100pt;z-index:251673600" fillcolor="#eae9e7" strokecolor="#eae9e7">
          <v:textpath style="font-family:&quot;WeiRuanYaHei&quot;" string="zfb.zht 2022-01-21 16:55:40"/>
        </v:shape>
      </w:pict>
    </w:r>
    <w:r>
      <w:pict>
        <v:shape id="_x0000_s2065" type="#_x0000_t136" style="height:20pt;margin-left:200pt;margin-top:0;position:absolute;rotation:-40;width:100pt;z-index:251674624" fillcolor="#eae9e7" strokecolor="#eae9e7">
          <v:textpath style="font-family:&quot;WeiRuanYaHei&quot;" string="zfb.zht 2022-01-21 16:55:40"/>
        </v:shape>
      </w:pict>
    </w:r>
    <w:r>
      <w:pict>
        <v:shape id="_x0000_s2066" type="#_x0000_t136" style="height:20pt;margin-left:200pt;margin-top:200pt;position:absolute;rotation:-40;width:100pt;z-index:251675648" fillcolor="#eae9e7" strokecolor="#eae9e7">
          <v:textpath style="font-family:&quot;WeiRuanYaHei&quot;" string="zfb.zht 2022-01-21 16:55:40"/>
        </v:shape>
      </w:pict>
    </w:r>
    <w:r>
      <w:pict>
        <v:shape id="_x0000_s2067" type="#_x0000_t136" style="height:20pt;margin-left:200pt;margin-top:400pt;position:absolute;rotation:-40;width:100pt;z-index:251676672" fillcolor="#eae9e7" strokecolor="#eae9e7">
          <v:textpath style="font-family:&quot;WeiRuanYaHei&quot;" string="zfb.zht 2022-01-21 16:55:40"/>
        </v:shape>
      </w:pict>
    </w:r>
    <w:r>
      <w:pict>
        <v:shape id="_x0000_s2068" type="#_x0000_t136" style="height:20pt;margin-left:200pt;margin-top:600pt;position:absolute;rotation:-40;width:100pt;z-index:251677696" fillcolor="#eae9e7" strokecolor="#eae9e7">
          <v:textpath style="font-family:&quot;WeiRuanYaHei&quot;" string="zfb.zht 2022-01-21 16:55:40"/>
        </v:shape>
      </w:pict>
    </w:r>
    <w:r>
      <w:pict>
        <v:shape id="_x0000_s2069" type="#_x0000_t136" style="height:20pt;margin-left:400pt;margin-top:0;position:absolute;rotation:-40;width:100pt;z-index:251678720" fillcolor="#eae9e7" strokecolor="#eae9e7">
          <v:textpath style="font-family:&quot;WeiRuanYaHei&quot;" string="zfb.zht 2022-01-21 16:55:40"/>
        </v:shape>
      </w:pict>
    </w:r>
    <w:r>
      <w:pict>
        <v:shape id="_x0000_s2070" type="#_x0000_t136" style="height:20pt;margin-left:400pt;margin-top:200pt;position:absolute;rotation:-40;width:100pt;z-index:251679744" fillcolor="#eae9e7" strokecolor="#eae9e7">
          <v:textpath style="font-family:&quot;WeiRuanYaHei&quot;" string="zfb.zht 2022-01-21 16:55:40"/>
        </v:shape>
      </w:pict>
    </w:r>
    <w:r>
      <w:pict>
        <v:shape id="_x0000_s2071" type="#_x0000_t136" style="height:20pt;margin-left:400pt;margin-top:400pt;position:absolute;rotation:-40;width:100pt;z-index:251680768" fillcolor="#eae9e7" strokecolor="#eae9e7">
          <v:textpath style="font-family:&quot;WeiRuanYaHei&quot;" string="zfb.zht 2022-01-21 16:55:40"/>
        </v:shape>
      </w:pict>
    </w:r>
    <w:r>
      <w:pict>
        <v:shape id="_x0000_s2072" type="#_x0000_t136" style="height:20pt;margin-left:400pt;margin-top:600pt;position:absolute;rotation:-40;width:100pt;z-index:251681792" fillcolor="#eae9e7" strokecolor="#eae9e7">
          <v:textpath style="font-family:&quot;WeiRuanYaHei&quot;" string="zfb.zht 2022-01-21 16:55:40"/>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391" type="#_x0000_t136" style="height:20pt;margin-left:0;margin-top:0;position:absolute;rotation:-40;width:100pt;z-index:252003328" fillcolor="#eae9e7" strokecolor="#eae9e7">
          <v:textpath style="font-family:&quot;WeiRuanYaHei&quot;" string="zfb.zht 2022-01-21 16:55:40"/>
        </v:shape>
      </w:pict>
    </w:r>
    <w:r>
      <w:pict>
        <v:shape id="_x0000_s2392" type="#_x0000_t136" style="height:20pt;margin-left:0;margin-top:200pt;position:absolute;rotation:-40;width:100pt;z-index:252004352" fillcolor="#eae9e7" strokecolor="#eae9e7">
          <v:textpath style="font-family:&quot;WeiRuanYaHei&quot;" string="zfb.zht 2022-01-21 16:55:40"/>
        </v:shape>
      </w:pict>
    </w:r>
    <w:r>
      <w:pict>
        <v:shape id="_x0000_s2393" type="#_x0000_t136" style="height:20pt;margin-left:0;margin-top:400pt;position:absolute;rotation:-40;width:100pt;z-index:252005376" fillcolor="#eae9e7" strokecolor="#eae9e7">
          <v:textpath style="font-family:&quot;WeiRuanYaHei&quot;" string="zfb.zht 2022-01-21 16:55:40"/>
        </v:shape>
      </w:pict>
    </w:r>
    <w:r>
      <w:pict>
        <v:shape id="_x0000_s2394" type="#_x0000_t136" style="height:20pt;margin-left:0;margin-top:600pt;position:absolute;rotation:-40;width:100pt;z-index:252006400" fillcolor="#eae9e7" strokecolor="#eae9e7">
          <v:textpath style="font-family:&quot;WeiRuanYaHei&quot;" string="zfb.zht 2022-01-21 16:55:40"/>
        </v:shape>
      </w:pict>
    </w:r>
    <w:r>
      <w:pict>
        <v:shape id="_x0000_s2395" type="#_x0000_t136" style="height:20pt;margin-left:200pt;margin-top:0;position:absolute;rotation:-40;width:100pt;z-index:252007424" fillcolor="#eae9e7" strokecolor="#eae9e7">
          <v:textpath style="font-family:&quot;WeiRuanYaHei&quot;" string="zfb.zht 2022-01-21 16:55:40"/>
        </v:shape>
      </w:pict>
    </w:r>
    <w:r>
      <w:pict>
        <v:shape id="_x0000_s2396" type="#_x0000_t136" style="height:20pt;margin-left:200pt;margin-top:200pt;position:absolute;rotation:-40;width:100pt;z-index:252008448" fillcolor="#eae9e7" strokecolor="#eae9e7">
          <v:textpath style="font-family:&quot;WeiRuanYaHei&quot;" string="zfb.zht 2022-01-21 16:55:40"/>
        </v:shape>
      </w:pict>
    </w:r>
    <w:r>
      <w:pict>
        <v:shape id="_x0000_s2397" type="#_x0000_t136" style="height:20pt;margin-left:200pt;margin-top:400pt;position:absolute;rotation:-40;width:100pt;z-index:252009472" fillcolor="#eae9e7" strokecolor="#eae9e7">
          <v:textpath style="font-family:&quot;WeiRuanYaHei&quot;" string="zfb.zht 2022-01-21 16:55:40"/>
        </v:shape>
      </w:pict>
    </w:r>
    <w:r>
      <w:pict>
        <v:shape id="_x0000_s2398" type="#_x0000_t136" style="height:20pt;margin-left:200pt;margin-top:600pt;position:absolute;rotation:-40;width:100pt;z-index:252010496" fillcolor="#eae9e7" strokecolor="#eae9e7">
          <v:textpath style="font-family:&quot;WeiRuanYaHei&quot;" string="zfb.zht 2022-01-21 16:55:40"/>
        </v:shape>
      </w:pict>
    </w:r>
    <w:r>
      <w:pict>
        <v:shape id="_x0000_s2399" type="#_x0000_t136" style="height:20pt;margin-left:400pt;margin-top:0;position:absolute;rotation:-40;width:100pt;z-index:252011520" fillcolor="#eae9e7" strokecolor="#eae9e7">
          <v:textpath style="font-family:&quot;WeiRuanYaHei&quot;" string="zfb.zht 2022-01-21 16:55:40"/>
        </v:shape>
      </w:pict>
    </w:r>
    <w:r>
      <w:pict>
        <v:shape id="_x0000_s2400" type="#_x0000_t136" style="height:20pt;margin-left:400pt;margin-top:200pt;position:absolute;rotation:-40;width:100pt;z-index:252012544" fillcolor="#eae9e7" strokecolor="#eae9e7">
          <v:textpath style="font-family:&quot;WeiRuanYaHei&quot;" string="zfb.zht 2022-01-21 16:55:40"/>
        </v:shape>
      </w:pict>
    </w:r>
    <w:r>
      <w:pict>
        <v:shape id="_x0000_s2401" type="#_x0000_t136" style="height:20pt;margin-left:400pt;margin-top:400pt;position:absolute;rotation:-40;width:100pt;z-index:252013568" fillcolor="#eae9e7" strokecolor="#eae9e7">
          <v:textpath style="font-family:&quot;WeiRuanYaHei&quot;" string="zfb.zht 2022-01-21 16:55:40"/>
        </v:shape>
      </w:pict>
    </w:r>
    <w:r>
      <w:pict>
        <v:shape id="_x0000_s2402" type="#_x0000_t136" style="height:20pt;margin-left:400pt;margin-top:600pt;position:absolute;rotation:-40;width:100pt;z-index:252014592" fillcolor="#eae9e7" strokecolor="#eae9e7">
          <v:textpath style="font-family:&quot;WeiRuanYaHei&quot;" string="zfb.zht 2022-01-21 16:55:40"/>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439" type="#_x0000_t136" style="height:20pt;margin-left:0;margin-top:0;position:absolute;rotation:-40;width:100pt;z-index:252052480" fillcolor="#eae9e7" strokecolor="#eae9e7">
          <v:textpath style="font-family:&quot;WeiRuanYaHei&quot;" string="zfb.zht 2022-01-21 16:55:40"/>
        </v:shape>
      </w:pict>
    </w:r>
    <w:r>
      <w:pict>
        <v:shape id="_x0000_s2440" type="#_x0000_t136" style="height:20pt;margin-left:0;margin-top:200pt;position:absolute;rotation:-40;width:100pt;z-index:252053504" fillcolor="#eae9e7" strokecolor="#eae9e7">
          <v:textpath style="font-family:&quot;WeiRuanYaHei&quot;" string="zfb.zht 2022-01-21 16:55:40"/>
        </v:shape>
      </w:pict>
    </w:r>
    <w:r>
      <w:pict>
        <v:shape id="_x0000_s2441" type="#_x0000_t136" style="height:20pt;margin-left:0;margin-top:400pt;position:absolute;rotation:-40;width:100pt;z-index:252054528" fillcolor="#eae9e7" strokecolor="#eae9e7">
          <v:textpath style="font-family:&quot;WeiRuanYaHei&quot;" string="zfb.zht 2022-01-21 16:55:40"/>
        </v:shape>
      </w:pict>
    </w:r>
    <w:r>
      <w:pict>
        <v:shape id="_x0000_s2442" type="#_x0000_t136" style="height:20pt;margin-left:0;margin-top:600pt;position:absolute;rotation:-40;width:100pt;z-index:252055552" fillcolor="#eae9e7" strokecolor="#eae9e7">
          <v:textpath style="font-family:&quot;WeiRuanYaHei&quot;" string="zfb.zht 2022-01-21 16:55:40"/>
        </v:shape>
      </w:pict>
    </w:r>
    <w:r>
      <w:pict>
        <v:shape id="_x0000_s2443" type="#_x0000_t136" style="height:20pt;margin-left:200pt;margin-top:0;position:absolute;rotation:-40;width:100pt;z-index:252056576" fillcolor="#eae9e7" strokecolor="#eae9e7">
          <v:textpath style="font-family:&quot;WeiRuanYaHei&quot;" string="zfb.zht 2022-01-21 16:55:40"/>
        </v:shape>
      </w:pict>
    </w:r>
    <w:r>
      <w:pict>
        <v:shape id="_x0000_s2444" type="#_x0000_t136" style="height:20pt;margin-left:200pt;margin-top:200pt;position:absolute;rotation:-40;width:100pt;z-index:252057600" fillcolor="#eae9e7" strokecolor="#eae9e7">
          <v:textpath style="font-family:&quot;WeiRuanYaHei&quot;" string="zfb.zht 2022-01-21 16:55:40"/>
        </v:shape>
      </w:pict>
    </w:r>
    <w:r>
      <w:pict>
        <v:shape id="_x0000_s2445" type="#_x0000_t136" style="height:20pt;margin-left:200pt;margin-top:400pt;position:absolute;rotation:-40;width:100pt;z-index:252058624" fillcolor="#eae9e7" strokecolor="#eae9e7">
          <v:textpath style="font-family:&quot;WeiRuanYaHei&quot;" string="zfb.zht 2022-01-21 16:55:40"/>
        </v:shape>
      </w:pict>
    </w:r>
    <w:r>
      <w:pict>
        <v:shape id="_x0000_s2446" type="#_x0000_t136" style="height:20pt;margin-left:200pt;margin-top:600pt;position:absolute;rotation:-40;width:100pt;z-index:252059648" fillcolor="#eae9e7" strokecolor="#eae9e7">
          <v:textpath style="font-family:&quot;WeiRuanYaHei&quot;" string="zfb.zht 2022-01-21 16:55:40"/>
        </v:shape>
      </w:pict>
    </w:r>
    <w:r>
      <w:pict>
        <v:shape id="_x0000_s2447" type="#_x0000_t136" style="height:20pt;margin-left:400pt;margin-top:0;position:absolute;rotation:-40;width:100pt;z-index:252060672" fillcolor="#eae9e7" strokecolor="#eae9e7">
          <v:textpath style="font-family:&quot;WeiRuanYaHei&quot;" string="zfb.zht 2022-01-21 16:55:40"/>
        </v:shape>
      </w:pict>
    </w:r>
    <w:r>
      <w:pict>
        <v:shape id="_x0000_s2448" type="#_x0000_t136" style="height:20pt;margin-left:400pt;margin-top:200pt;position:absolute;rotation:-40;width:100pt;z-index:252061696" fillcolor="#eae9e7" strokecolor="#eae9e7">
          <v:textpath style="font-family:&quot;WeiRuanYaHei&quot;" string="zfb.zht 2022-01-21 16:55:40"/>
        </v:shape>
      </w:pict>
    </w:r>
    <w:r>
      <w:pict>
        <v:shape id="_x0000_s2449" type="#_x0000_t136" style="height:20pt;margin-left:400pt;margin-top:400pt;position:absolute;rotation:-40;width:100pt;z-index:252062720" fillcolor="#eae9e7" strokecolor="#eae9e7">
          <v:textpath style="font-family:&quot;WeiRuanYaHei&quot;" string="zfb.zht 2022-01-21 16:55:40"/>
        </v:shape>
      </w:pict>
    </w:r>
    <w:r>
      <w:pict>
        <v:shape id="_x0000_s2450" type="#_x0000_t136" style="height:20pt;margin-left:400pt;margin-top:600pt;position:absolute;rotation:-40;width:100pt;z-index:252063744" fillcolor="#eae9e7" strokecolor="#eae9e7">
          <v:textpath style="font-family:&quot;WeiRuanYaHei&quot;" string="zfb.zht 2022-01-21 16:55:40"/>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415" type="#_x0000_t136" style="height:20pt;margin-left:0;margin-top:0;position:absolute;rotation:-40;width:100pt;z-index:252027904" fillcolor="#eae9e7" strokecolor="#eae9e7">
          <v:textpath style="font-family:&quot;WeiRuanYaHei&quot;" string="zfb.zht 2022-01-21 16:55:40"/>
        </v:shape>
      </w:pict>
    </w:r>
    <w:r>
      <w:pict>
        <v:shape id="_x0000_s2416" type="#_x0000_t136" style="height:20pt;margin-left:0;margin-top:200pt;position:absolute;rotation:-40;width:100pt;z-index:252028928" fillcolor="#eae9e7" strokecolor="#eae9e7">
          <v:textpath style="font-family:&quot;WeiRuanYaHei&quot;" string="zfb.zht 2022-01-21 16:55:40"/>
        </v:shape>
      </w:pict>
    </w:r>
    <w:r>
      <w:pict>
        <v:shape id="_x0000_s2417" type="#_x0000_t136" style="height:20pt;margin-left:0;margin-top:400pt;position:absolute;rotation:-40;width:100pt;z-index:252029952" fillcolor="#eae9e7" strokecolor="#eae9e7">
          <v:textpath style="font-family:&quot;WeiRuanYaHei&quot;" string="zfb.zht 2022-01-21 16:55:40"/>
        </v:shape>
      </w:pict>
    </w:r>
    <w:r>
      <w:pict>
        <v:shape id="_x0000_s2418" type="#_x0000_t136" style="height:20pt;margin-left:0;margin-top:600pt;position:absolute;rotation:-40;width:100pt;z-index:252030976" fillcolor="#eae9e7" strokecolor="#eae9e7">
          <v:textpath style="font-family:&quot;WeiRuanYaHei&quot;" string="zfb.zht 2022-01-21 16:55:40"/>
        </v:shape>
      </w:pict>
    </w:r>
    <w:r>
      <w:pict>
        <v:shape id="_x0000_s2419" type="#_x0000_t136" style="height:20pt;margin-left:200pt;margin-top:0;position:absolute;rotation:-40;width:100pt;z-index:252032000" fillcolor="#eae9e7" strokecolor="#eae9e7">
          <v:textpath style="font-family:&quot;WeiRuanYaHei&quot;" string="zfb.zht 2022-01-21 16:55:40"/>
        </v:shape>
      </w:pict>
    </w:r>
    <w:r>
      <w:pict>
        <v:shape id="_x0000_s2420" type="#_x0000_t136" style="height:20pt;margin-left:200pt;margin-top:200pt;position:absolute;rotation:-40;width:100pt;z-index:252033024" fillcolor="#eae9e7" strokecolor="#eae9e7">
          <v:textpath style="font-family:&quot;WeiRuanYaHei&quot;" string="zfb.zht 2022-01-21 16:55:40"/>
        </v:shape>
      </w:pict>
    </w:r>
    <w:r>
      <w:pict>
        <v:shape id="_x0000_s2421" type="#_x0000_t136" style="height:20pt;margin-left:200pt;margin-top:400pt;position:absolute;rotation:-40;width:100pt;z-index:252034048" fillcolor="#eae9e7" strokecolor="#eae9e7">
          <v:textpath style="font-family:&quot;WeiRuanYaHei&quot;" string="zfb.zht 2022-01-21 16:55:40"/>
        </v:shape>
      </w:pict>
    </w:r>
    <w:r>
      <w:pict>
        <v:shape id="_x0000_s2422" type="#_x0000_t136" style="height:20pt;margin-left:200pt;margin-top:600pt;position:absolute;rotation:-40;width:100pt;z-index:252035072" fillcolor="#eae9e7" strokecolor="#eae9e7">
          <v:textpath style="font-family:&quot;WeiRuanYaHei&quot;" string="zfb.zht 2022-01-21 16:55:40"/>
        </v:shape>
      </w:pict>
    </w:r>
    <w:r>
      <w:pict>
        <v:shape id="_x0000_s2423" type="#_x0000_t136" style="height:20pt;margin-left:400pt;margin-top:0;position:absolute;rotation:-40;width:100pt;z-index:252036096" fillcolor="#eae9e7" strokecolor="#eae9e7">
          <v:textpath style="font-family:&quot;WeiRuanYaHei&quot;" string="zfb.zht 2022-01-21 16:55:40"/>
        </v:shape>
      </w:pict>
    </w:r>
    <w:r>
      <w:pict>
        <v:shape id="_x0000_s2424" type="#_x0000_t136" style="height:20pt;margin-left:400pt;margin-top:200pt;position:absolute;rotation:-40;width:100pt;z-index:252037120" fillcolor="#eae9e7" strokecolor="#eae9e7">
          <v:textpath style="font-family:&quot;WeiRuanYaHei&quot;" string="zfb.zht 2022-01-21 16:55:40"/>
        </v:shape>
      </w:pict>
    </w:r>
    <w:r>
      <w:pict>
        <v:shape id="_x0000_s2425" type="#_x0000_t136" style="height:20pt;margin-left:400pt;margin-top:400pt;position:absolute;rotation:-40;width:100pt;z-index:252038144" fillcolor="#eae9e7" strokecolor="#eae9e7">
          <v:textpath style="font-family:&quot;WeiRuanYaHei&quot;" string="zfb.zht 2022-01-21 16:55:40"/>
        </v:shape>
      </w:pict>
    </w:r>
    <w:r>
      <w:pict>
        <v:shape id="_x0000_s2426" type="#_x0000_t136" style="height:20pt;margin-left:400pt;margin-top:600pt;position:absolute;rotation:-40;width:100pt;z-index:252039168" fillcolor="#eae9e7" strokecolor="#eae9e7">
          <v:textpath style="font-family:&quot;WeiRuanYaHei&quot;" string="zfb.zht 2022-01-21 16:55:40"/>
        </v:shape>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427" type="#_x0000_t136" style="height:20pt;margin-left:0;margin-top:0;position:absolute;rotation:-40;width:100pt;z-index:252040192" fillcolor="#eae9e7" strokecolor="#eae9e7">
          <v:textpath style="font-family:&quot;WeiRuanYaHei&quot;" string="zfb.zht 2022-01-21 16:55:40"/>
        </v:shape>
      </w:pict>
    </w:r>
    <w:r>
      <w:pict>
        <v:shape id="_x0000_s2428" type="#_x0000_t136" style="height:20pt;margin-left:0;margin-top:200pt;position:absolute;rotation:-40;width:100pt;z-index:252041216" fillcolor="#eae9e7" strokecolor="#eae9e7">
          <v:textpath style="font-family:&quot;WeiRuanYaHei&quot;" string="zfb.zht 2022-01-21 16:55:40"/>
        </v:shape>
      </w:pict>
    </w:r>
    <w:r>
      <w:pict>
        <v:shape id="_x0000_s2429" type="#_x0000_t136" style="height:20pt;margin-left:0;margin-top:400pt;position:absolute;rotation:-40;width:100pt;z-index:252042240" fillcolor="#eae9e7" strokecolor="#eae9e7">
          <v:textpath style="font-family:&quot;WeiRuanYaHei&quot;" string="zfb.zht 2022-01-21 16:55:40"/>
        </v:shape>
      </w:pict>
    </w:r>
    <w:r>
      <w:pict>
        <v:shape id="_x0000_s2430" type="#_x0000_t136" style="height:20pt;margin-left:0;margin-top:600pt;position:absolute;rotation:-40;width:100pt;z-index:252043264" fillcolor="#eae9e7" strokecolor="#eae9e7">
          <v:textpath style="font-family:&quot;WeiRuanYaHei&quot;" string="zfb.zht 2022-01-21 16:55:40"/>
        </v:shape>
      </w:pict>
    </w:r>
    <w:r>
      <w:pict>
        <v:shape id="_x0000_s2431" type="#_x0000_t136" style="height:20pt;margin-left:200pt;margin-top:0;position:absolute;rotation:-40;width:100pt;z-index:252044288" fillcolor="#eae9e7" strokecolor="#eae9e7">
          <v:textpath style="font-family:&quot;WeiRuanYaHei&quot;" string="zfb.zht 2022-01-21 16:55:40"/>
        </v:shape>
      </w:pict>
    </w:r>
    <w:r>
      <w:pict>
        <v:shape id="_x0000_s2432" type="#_x0000_t136" style="height:20pt;margin-left:200pt;margin-top:200pt;position:absolute;rotation:-40;width:100pt;z-index:252045312" fillcolor="#eae9e7" strokecolor="#eae9e7">
          <v:textpath style="font-family:&quot;WeiRuanYaHei&quot;" string="zfb.zht 2022-01-21 16:55:40"/>
        </v:shape>
      </w:pict>
    </w:r>
    <w:r>
      <w:pict>
        <v:shape id="_x0000_s2433" type="#_x0000_t136" style="height:20pt;margin-left:200pt;margin-top:400pt;position:absolute;rotation:-40;width:100pt;z-index:252046336" fillcolor="#eae9e7" strokecolor="#eae9e7">
          <v:textpath style="font-family:&quot;WeiRuanYaHei&quot;" string="zfb.zht 2022-01-21 16:55:40"/>
        </v:shape>
      </w:pict>
    </w:r>
    <w:r>
      <w:pict>
        <v:shape id="_x0000_s2434" type="#_x0000_t136" style="height:20pt;margin-left:200pt;margin-top:600pt;position:absolute;rotation:-40;width:100pt;z-index:252047360" fillcolor="#eae9e7" strokecolor="#eae9e7">
          <v:textpath style="font-family:&quot;WeiRuanYaHei&quot;" string="zfb.zht 2022-01-21 16:55:40"/>
        </v:shape>
      </w:pict>
    </w:r>
    <w:r>
      <w:pict>
        <v:shape id="_x0000_s2435" type="#_x0000_t136" style="height:20pt;margin-left:400pt;margin-top:0;position:absolute;rotation:-40;width:100pt;z-index:252048384" fillcolor="#eae9e7" strokecolor="#eae9e7">
          <v:textpath style="font-family:&quot;WeiRuanYaHei&quot;" string="zfb.zht 2022-01-21 16:55:40"/>
        </v:shape>
      </w:pict>
    </w:r>
    <w:r>
      <w:pict>
        <v:shape id="_x0000_s2436" type="#_x0000_t136" style="height:20pt;margin-left:400pt;margin-top:200pt;position:absolute;rotation:-40;width:100pt;z-index:252049408" fillcolor="#eae9e7" strokecolor="#eae9e7">
          <v:textpath style="font-family:&quot;WeiRuanYaHei&quot;" string="zfb.zht 2022-01-21 16:55:40"/>
        </v:shape>
      </w:pict>
    </w:r>
    <w:r>
      <w:pict>
        <v:shape id="_x0000_s2437" type="#_x0000_t136" style="height:20pt;margin-left:400pt;margin-top:400pt;position:absolute;rotation:-40;width:100pt;z-index:252050432" fillcolor="#eae9e7" strokecolor="#eae9e7">
          <v:textpath style="font-family:&quot;WeiRuanYaHei&quot;" string="zfb.zht 2022-01-21 16:55:40"/>
        </v:shape>
      </w:pict>
    </w:r>
    <w:r>
      <w:pict>
        <v:shape id="_x0000_s2438" type="#_x0000_t136" style="height:20pt;margin-left:400pt;margin-top:600pt;position:absolute;rotation:-40;width:100pt;z-index:252051456" fillcolor="#eae9e7" strokecolor="#eae9e7">
          <v:textpath style="font-family:&quot;WeiRuanYaHei&quot;" string="zfb.zht 2022-01-21 16:55:40"/>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475" type="#_x0000_t136" style="height:20pt;margin-left:0;margin-top:0;position:absolute;rotation:-40;width:100pt;z-index:252089344" fillcolor="#eae9e7" strokecolor="#eae9e7">
          <v:textpath style="font-family:&quot;WeiRuanYaHei&quot;" string="zfb.zht 2022-01-21 16:55:40"/>
        </v:shape>
      </w:pict>
    </w:r>
    <w:r>
      <w:pict>
        <v:shape id="_x0000_s2476" type="#_x0000_t136" style="height:20pt;margin-left:0;margin-top:200pt;position:absolute;rotation:-40;width:100pt;z-index:252090368" fillcolor="#eae9e7" strokecolor="#eae9e7">
          <v:textpath style="font-family:&quot;WeiRuanYaHei&quot;" string="zfb.zht 2022-01-21 16:55:40"/>
        </v:shape>
      </w:pict>
    </w:r>
    <w:r>
      <w:pict>
        <v:shape id="_x0000_s2477" type="#_x0000_t136" style="height:20pt;margin-left:0;margin-top:400pt;position:absolute;rotation:-40;width:100pt;z-index:252091392" fillcolor="#eae9e7" strokecolor="#eae9e7">
          <v:textpath style="font-family:&quot;WeiRuanYaHei&quot;" string="zfb.zht 2022-01-21 16:55:40"/>
        </v:shape>
      </w:pict>
    </w:r>
    <w:r>
      <w:pict>
        <v:shape id="_x0000_s2478" type="#_x0000_t136" style="height:20pt;margin-left:0;margin-top:600pt;position:absolute;rotation:-40;width:100pt;z-index:252092416" fillcolor="#eae9e7" strokecolor="#eae9e7">
          <v:textpath style="font-family:&quot;WeiRuanYaHei&quot;" string="zfb.zht 2022-01-21 16:55:40"/>
        </v:shape>
      </w:pict>
    </w:r>
    <w:r>
      <w:pict>
        <v:shape id="_x0000_s2479" type="#_x0000_t136" style="height:20pt;margin-left:200pt;margin-top:0;position:absolute;rotation:-40;width:100pt;z-index:252093440" fillcolor="#eae9e7" strokecolor="#eae9e7">
          <v:textpath style="font-family:&quot;WeiRuanYaHei&quot;" string="zfb.zht 2022-01-21 16:55:40"/>
        </v:shape>
      </w:pict>
    </w:r>
    <w:r>
      <w:pict>
        <v:shape id="_x0000_s2480" type="#_x0000_t136" style="height:20pt;margin-left:200pt;margin-top:200pt;position:absolute;rotation:-40;width:100pt;z-index:252094464" fillcolor="#eae9e7" strokecolor="#eae9e7">
          <v:textpath style="font-family:&quot;WeiRuanYaHei&quot;" string="zfb.zht 2022-01-21 16:55:40"/>
        </v:shape>
      </w:pict>
    </w:r>
    <w:r>
      <w:pict>
        <v:shape id="_x0000_s2481" type="#_x0000_t136" style="height:20pt;margin-left:200pt;margin-top:400pt;position:absolute;rotation:-40;width:100pt;z-index:252095488" fillcolor="#eae9e7" strokecolor="#eae9e7">
          <v:textpath style="font-family:&quot;WeiRuanYaHei&quot;" string="zfb.zht 2022-01-21 16:55:40"/>
        </v:shape>
      </w:pict>
    </w:r>
    <w:r>
      <w:pict>
        <v:shape id="_x0000_s2482" type="#_x0000_t136" style="height:20pt;margin-left:200pt;margin-top:600pt;position:absolute;rotation:-40;width:100pt;z-index:252096512" fillcolor="#eae9e7" strokecolor="#eae9e7">
          <v:textpath style="font-family:&quot;WeiRuanYaHei&quot;" string="zfb.zht 2022-01-21 16:55:40"/>
        </v:shape>
      </w:pict>
    </w:r>
    <w:r>
      <w:pict>
        <v:shape id="_x0000_s2483" type="#_x0000_t136" style="height:20pt;margin-left:400pt;margin-top:0;position:absolute;rotation:-40;width:100pt;z-index:252097536" fillcolor="#eae9e7" strokecolor="#eae9e7">
          <v:textpath style="font-family:&quot;WeiRuanYaHei&quot;" string="zfb.zht 2022-01-21 16:55:40"/>
        </v:shape>
      </w:pict>
    </w:r>
    <w:r>
      <w:pict>
        <v:shape id="_x0000_s2484" type="#_x0000_t136" style="height:20pt;margin-left:400pt;margin-top:200pt;position:absolute;rotation:-40;width:100pt;z-index:252098560" fillcolor="#eae9e7" strokecolor="#eae9e7">
          <v:textpath style="font-family:&quot;WeiRuanYaHei&quot;" string="zfb.zht 2022-01-21 16:55:40"/>
        </v:shape>
      </w:pict>
    </w:r>
    <w:r>
      <w:pict>
        <v:shape id="_x0000_s2485" type="#_x0000_t136" style="height:20pt;margin-left:400pt;margin-top:400pt;position:absolute;rotation:-40;width:100pt;z-index:252099584" fillcolor="#eae9e7" strokecolor="#eae9e7">
          <v:textpath style="font-family:&quot;WeiRuanYaHei&quot;" string="zfb.zht 2022-01-21 16:55:40"/>
        </v:shape>
      </w:pict>
    </w:r>
    <w:r>
      <w:pict>
        <v:shape id="_x0000_s2486" type="#_x0000_t136" style="height:20pt;margin-left:400pt;margin-top:600pt;position:absolute;rotation:-40;width:100pt;z-index:252100608" fillcolor="#eae9e7" strokecolor="#eae9e7">
          <v:textpath style="font-family:&quot;WeiRuanYaHei&quot;" string="zfb.zht 2022-01-21 16:55:40"/>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451" type="#_x0000_t136" style="height:20pt;margin-left:0;margin-top:0;position:absolute;rotation:-40;width:100pt;z-index:252064768" fillcolor="#eae9e7" strokecolor="#eae9e7">
          <v:textpath style="font-family:&quot;WeiRuanYaHei&quot;" string="zfb.zht 2022-01-21 16:55:40"/>
        </v:shape>
      </w:pict>
    </w:r>
    <w:r>
      <w:pict>
        <v:shape id="_x0000_s2452" type="#_x0000_t136" style="height:20pt;margin-left:0;margin-top:200pt;position:absolute;rotation:-40;width:100pt;z-index:252065792" fillcolor="#eae9e7" strokecolor="#eae9e7">
          <v:textpath style="font-family:&quot;WeiRuanYaHei&quot;" string="zfb.zht 2022-01-21 16:55:40"/>
        </v:shape>
      </w:pict>
    </w:r>
    <w:r>
      <w:pict>
        <v:shape id="_x0000_s2453" type="#_x0000_t136" style="height:20pt;margin-left:0;margin-top:400pt;position:absolute;rotation:-40;width:100pt;z-index:252066816" fillcolor="#eae9e7" strokecolor="#eae9e7">
          <v:textpath style="font-family:&quot;WeiRuanYaHei&quot;" string="zfb.zht 2022-01-21 16:55:40"/>
        </v:shape>
      </w:pict>
    </w:r>
    <w:r>
      <w:pict>
        <v:shape id="_x0000_s2454" type="#_x0000_t136" style="height:20pt;margin-left:0;margin-top:600pt;position:absolute;rotation:-40;width:100pt;z-index:252067840" fillcolor="#eae9e7" strokecolor="#eae9e7">
          <v:textpath style="font-family:&quot;WeiRuanYaHei&quot;" string="zfb.zht 2022-01-21 16:55:40"/>
        </v:shape>
      </w:pict>
    </w:r>
    <w:r>
      <w:pict>
        <v:shape id="_x0000_s2455" type="#_x0000_t136" style="height:20pt;margin-left:200pt;margin-top:0;position:absolute;rotation:-40;width:100pt;z-index:252068864" fillcolor="#eae9e7" strokecolor="#eae9e7">
          <v:textpath style="font-family:&quot;WeiRuanYaHei&quot;" string="zfb.zht 2022-01-21 16:55:40"/>
        </v:shape>
      </w:pict>
    </w:r>
    <w:r>
      <w:pict>
        <v:shape id="_x0000_s2456" type="#_x0000_t136" style="height:20pt;margin-left:200pt;margin-top:200pt;position:absolute;rotation:-40;width:100pt;z-index:252069888" fillcolor="#eae9e7" strokecolor="#eae9e7">
          <v:textpath style="font-family:&quot;WeiRuanYaHei&quot;" string="zfb.zht 2022-01-21 16:55:40"/>
        </v:shape>
      </w:pict>
    </w:r>
    <w:r>
      <w:pict>
        <v:shape id="_x0000_s2457" type="#_x0000_t136" style="height:20pt;margin-left:200pt;margin-top:400pt;position:absolute;rotation:-40;width:100pt;z-index:252070912" fillcolor="#eae9e7" strokecolor="#eae9e7">
          <v:textpath style="font-family:&quot;WeiRuanYaHei&quot;" string="zfb.zht 2022-01-21 16:55:40"/>
        </v:shape>
      </w:pict>
    </w:r>
    <w:r>
      <w:pict>
        <v:shape id="_x0000_s2458" type="#_x0000_t136" style="height:20pt;margin-left:200pt;margin-top:600pt;position:absolute;rotation:-40;width:100pt;z-index:252071936" fillcolor="#eae9e7" strokecolor="#eae9e7">
          <v:textpath style="font-family:&quot;WeiRuanYaHei&quot;" string="zfb.zht 2022-01-21 16:55:40"/>
        </v:shape>
      </w:pict>
    </w:r>
    <w:r>
      <w:pict>
        <v:shape id="_x0000_s2459" type="#_x0000_t136" style="height:20pt;margin-left:400pt;margin-top:0;position:absolute;rotation:-40;width:100pt;z-index:252072960" fillcolor="#eae9e7" strokecolor="#eae9e7">
          <v:textpath style="font-family:&quot;WeiRuanYaHei&quot;" string="zfb.zht 2022-01-21 16:55:40"/>
        </v:shape>
      </w:pict>
    </w:r>
    <w:r>
      <w:pict>
        <v:shape id="_x0000_s2460" type="#_x0000_t136" style="height:20pt;margin-left:400pt;margin-top:200pt;position:absolute;rotation:-40;width:100pt;z-index:252073984" fillcolor="#eae9e7" strokecolor="#eae9e7">
          <v:textpath style="font-family:&quot;WeiRuanYaHei&quot;" string="zfb.zht 2022-01-21 16:55:40"/>
        </v:shape>
      </w:pict>
    </w:r>
    <w:r>
      <w:pict>
        <v:shape id="_x0000_s2461" type="#_x0000_t136" style="height:20pt;margin-left:400pt;margin-top:400pt;position:absolute;rotation:-40;width:100pt;z-index:252075008" fillcolor="#eae9e7" strokecolor="#eae9e7">
          <v:textpath style="font-family:&quot;WeiRuanYaHei&quot;" string="zfb.zht 2022-01-21 16:55:40"/>
        </v:shape>
      </w:pict>
    </w:r>
    <w:r>
      <w:pict>
        <v:shape id="_x0000_s2462" type="#_x0000_t136" style="height:20pt;margin-left:400pt;margin-top:600pt;position:absolute;rotation:-40;width:100pt;z-index:252076032" fillcolor="#eae9e7" strokecolor="#eae9e7">
          <v:textpath style="font-family:&quot;WeiRuanYaHei&quot;" string="zfb.zht 2022-01-21 16:55:40"/>
        </v:shape>
      </w:pic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463" type="#_x0000_t136" style="height:20pt;margin-left:0;margin-top:0;position:absolute;rotation:-40;width:100pt;z-index:252077056" fillcolor="#eae9e7" strokecolor="#eae9e7">
          <v:textpath style="font-family:&quot;WeiRuanYaHei&quot;" string="zfb.zht 2022-01-21 16:55:40"/>
        </v:shape>
      </w:pict>
    </w:r>
    <w:r>
      <w:pict>
        <v:shape id="_x0000_s2464" type="#_x0000_t136" style="height:20pt;margin-left:0;margin-top:200pt;position:absolute;rotation:-40;width:100pt;z-index:252078080" fillcolor="#eae9e7" strokecolor="#eae9e7">
          <v:textpath style="font-family:&quot;WeiRuanYaHei&quot;" string="zfb.zht 2022-01-21 16:55:40"/>
        </v:shape>
      </w:pict>
    </w:r>
    <w:r>
      <w:pict>
        <v:shape id="_x0000_s2465" type="#_x0000_t136" style="height:20pt;margin-left:0;margin-top:400pt;position:absolute;rotation:-40;width:100pt;z-index:252079104" fillcolor="#eae9e7" strokecolor="#eae9e7">
          <v:textpath style="font-family:&quot;WeiRuanYaHei&quot;" string="zfb.zht 2022-01-21 16:55:40"/>
        </v:shape>
      </w:pict>
    </w:r>
    <w:r>
      <w:pict>
        <v:shape id="_x0000_s2466" type="#_x0000_t136" style="height:20pt;margin-left:0;margin-top:600pt;position:absolute;rotation:-40;width:100pt;z-index:252080128" fillcolor="#eae9e7" strokecolor="#eae9e7">
          <v:textpath style="font-family:&quot;WeiRuanYaHei&quot;" string="zfb.zht 2022-01-21 16:55:40"/>
        </v:shape>
      </w:pict>
    </w:r>
    <w:r>
      <w:pict>
        <v:shape id="_x0000_s2467" type="#_x0000_t136" style="height:20pt;margin-left:200pt;margin-top:0;position:absolute;rotation:-40;width:100pt;z-index:252081152" fillcolor="#eae9e7" strokecolor="#eae9e7">
          <v:textpath style="font-family:&quot;WeiRuanYaHei&quot;" string="zfb.zht 2022-01-21 16:55:40"/>
        </v:shape>
      </w:pict>
    </w:r>
    <w:r>
      <w:pict>
        <v:shape id="_x0000_s2468" type="#_x0000_t136" style="height:20pt;margin-left:200pt;margin-top:200pt;position:absolute;rotation:-40;width:100pt;z-index:252082176" fillcolor="#eae9e7" strokecolor="#eae9e7">
          <v:textpath style="font-family:&quot;WeiRuanYaHei&quot;" string="zfb.zht 2022-01-21 16:55:40"/>
        </v:shape>
      </w:pict>
    </w:r>
    <w:r>
      <w:pict>
        <v:shape id="_x0000_s2469" type="#_x0000_t136" style="height:20pt;margin-left:200pt;margin-top:400pt;position:absolute;rotation:-40;width:100pt;z-index:252083200" fillcolor="#eae9e7" strokecolor="#eae9e7">
          <v:textpath style="font-family:&quot;WeiRuanYaHei&quot;" string="zfb.zht 2022-01-21 16:55:40"/>
        </v:shape>
      </w:pict>
    </w:r>
    <w:r>
      <w:pict>
        <v:shape id="_x0000_s2470" type="#_x0000_t136" style="height:20pt;margin-left:200pt;margin-top:600pt;position:absolute;rotation:-40;width:100pt;z-index:252084224" fillcolor="#eae9e7" strokecolor="#eae9e7">
          <v:textpath style="font-family:&quot;WeiRuanYaHei&quot;" string="zfb.zht 2022-01-21 16:55:40"/>
        </v:shape>
      </w:pict>
    </w:r>
    <w:r>
      <w:pict>
        <v:shape id="_x0000_s2471" type="#_x0000_t136" style="height:20pt;margin-left:400pt;margin-top:0;position:absolute;rotation:-40;width:100pt;z-index:252085248" fillcolor="#eae9e7" strokecolor="#eae9e7">
          <v:textpath style="font-family:&quot;WeiRuanYaHei&quot;" string="zfb.zht 2022-01-21 16:55:40"/>
        </v:shape>
      </w:pict>
    </w:r>
    <w:r>
      <w:pict>
        <v:shape id="_x0000_s2472" type="#_x0000_t136" style="height:20pt;margin-left:400pt;margin-top:200pt;position:absolute;rotation:-40;width:100pt;z-index:252086272" fillcolor="#eae9e7" strokecolor="#eae9e7">
          <v:textpath style="font-family:&quot;WeiRuanYaHei&quot;" string="zfb.zht 2022-01-21 16:55:40"/>
        </v:shape>
      </w:pict>
    </w:r>
    <w:r>
      <w:pict>
        <v:shape id="_x0000_s2473" type="#_x0000_t136" style="height:20pt;margin-left:400pt;margin-top:400pt;position:absolute;rotation:-40;width:100pt;z-index:252087296" fillcolor="#eae9e7" strokecolor="#eae9e7">
          <v:textpath style="font-family:&quot;WeiRuanYaHei&quot;" string="zfb.zht 2022-01-21 16:55:40"/>
        </v:shape>
      </w:pict>
    </w:r>
    <w:r>
      <w:pict>
        <v:shape id="_x0000_s2474" type="#_x0000_t136" style="height:20pt;margin-left:400pt;margin-top:600pt;position:absolute;rotation:-40;width:100pt;z-index:252088320" fillcolor="#eae9e7" strokecolor="#eae9e7">
          <v:textpath style="font-family:&quot;WeiRuanYaHei&quot;" string="zfb.zht 2022-01-21 16:55:40"/>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512" type="#_x0000_t136" style="height:20pt;margin-left:0;margin-top:0;position:absolute;rotation:-40;width:100pt;z-index:252126208" fillcolor="#eae9e7" strokecolor="#eae9e7">
          <v:textpath style="font-family:&quot;WeiRuanYaHei&quot;" string="zfb.zht 2022-01-21 16:55:40"/>
        </v:shape>
      </w:pict>
    </w:r>
    <w:r>
      <w:pict>
        <v:shape id="_x0000_s2513" type="#_x0000_t136" style="height:20pt;margin-left:0;margin-top:200pt;position:absolute;rotation:-40;width:100pt;z-index:252127232" fillcolor="#eae9e7" strokecolor="#eae9e7">
          <v:textpath style="font-family:&quot;WeiRuanYaHei&quot;" string="zfb.zht 2022-01-21 16:55:40"/>
        </v:shape>
      </w:pict>
    </w:r>
    <w:r>
      <w:pict>
        <v:shape id="_x0000_s2514" type="#_x0000_t136" style="height:20pt;margin-left:0;margin-top:400pt;position:absolute;rotation:-40;width:100pt;z-index:252128256" fillcolor="#eae9e7" strokecolor="#eae9e7">
          <v:textpath style="font-family:&quot;WeiRuanYaHei&quot;" string="zfb.zht 2022-01-21 16:55:40"/>
        </v:shape>
      </w:pict>
    </w:r>
    <w:r>
      <w:pict>
        <v:shape id="_x0000_s2515" type="#_x0000_t136" style="height:20pt;margin-left:0;margin-top:600pt;position:absolute;rotation:-40;width:100pt;z-index:252129280" fillcolor="#eae9e7" strokecolor="#eae9e7">
          <v:textpath style="font-family:&quot;WeiRuanYaHei&quot;" string="zfb.zht 2022-01-21 16:55:40"/>
        </v:shape>
      </w:pict>
    </w:r>
    <w:r>
      <w:pict>
        <v:shape id="_x0000_s2516" type="#_x0000_t136" style="height:20pt;margin-left:200pt;margin-top:0;position:absolute;rotation:-40;width:100pt;z-index:252130304" fillcolor="#eae9e7" strokecolor="#eae9e7">
          <v:textpath style="font-family:&quot;WeiRuanYaHei&quot;" string="zfb.zht 2022-01-21 16:55:40"/>
        </v:shape>
      </w:pict>
    </w:r>
    <w:r>
      <w:pict>
        <v:shape id="_x0000_s2517" type="#_x0000_t136" style="height:20pt;margin-left:200pt;margin-top:200pt;position:absolute;rotation:-40;width:100pt;z-index:252131328" fillcolor="#eae9e7" strokecolor="#eae9e7">
          <v:textpath style="font-family:&quot;WeiRuanYaHei&quot;" string="zfb.zht 2022-01-21 16:55:40"/>
        </v:shape>
      </w:pict>
    </w:r>
    <w:r>
      <w:pict>
        <v:shape id="_x0000_s2518" type="#_x0000_t136" style="height:20pt;margin-left:200pt;margin-top:400pt;position:absolute;rotation:-40;width:100pt;z-index:252132352" fillcolor="#eae9e7" strokecolor="#eae9e7">
          <v:textpath style="font-family:&quot;WeiRuanYaHei&quot;" string="zfb.zht 2022-01-21 16:55:40"/>
        </v:shape>
      </w:pict>
    </w:r>
    <w:r>
      <w:pict>
        <v:shape id="_x0000_s2519" type="#_x0000_t136" style="height:20pt;margin-left:200pt;margin-top:600pt;position:absolute;rotation:-40;width:100pt;z-index:252133376" fillcolor="#eae9e7" strokecolor="#eae9e7">
          <v:textpath style="font-family:&quot;WeiRuanYaHei&quot;" string="zfb.zht 2022-01-21 16:55:40"/>
        </v:shape>
      </w:pict>
    </w:r>
    <w:r>
      <w:pict>
        <v:shape id="_x0000_s2520" type="#_x0000_t136" style="height:20pt;margin-left:400pt;margin-top:0;position:absolute;rotation:-40;width:100pt;z-index:252134400" fillcolor="#eae9e7" strokecolor="#eae9e7">
          <v:textpath style="font-family:&quot;WeiRuanYaHei&quot;" string="zfb.zht 2022-01-21 16:55:40"/>
        </v:shape>
      </w:pict>
    </w:r>
    <w:r>
      <w:pict>
        <v:shape id="_x0000_s2521" type="#_x0000_t136" style="height:20pt;margin-left:400pt;margin-top:200pt;position:absolute;rotation:-40;width:100pt;z-index:252135424" fillcolor="#eae9e7" strokecolor="#eae9e7">
          <v:textpath style="font-family:&quot;WeiRuanYaHei&quot;" string="zfb.zht 2022-01-21 16:55:40"/>
        </v:shape>
      </w:pict>
    </w:r>
    <w:r>
      <w:pict>
        <v:shape id="_x0000_s2522" type="#_x0000_t136" style="height:20pt;margin-left:400pt;margin-top:400pt;position:absolute;rotation:-40;width:100pt;z-index:252136448" fillcolor="#eae9e7" strokecolor="#eae9e7">
          <v:textpath style="font-family:&quot;WeiRuanYaHei&quot;" string="zfb.zht 2022-01-21 16:55:40"/>
        </v:shape>
      </w:pict>
    </w:r>
    <w:r>
      <w:pict>
        <v:shape id="_x0000_s2523" type="#_x0000_t136" style="height:20pt;margin-left:400pt;margin-top:600pt;position:absolute;rotation:-40;width:100pt;z-index:252137472" fillcolor="#eae9e7" strokecolor="#eae9e7">
          <v:textpath style="font-family:&quot;WeiRuanYaHei&quot;" string="zfb.zht 2022-01-21 16:55:40"/>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12F60">
    <w:pPr>
      <w:pStyle w:val="Header"/>
    </w:pPr>
  </w:p>
  <w:p>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487" type="#_x0000_t136" style="height:20pt;margin-left:0;margin-top:0;position:absolute;rotation:-40;width:100pt;z-index:252101632" fillcolor="#eae9e7" strokecolor="#eae9e7">
          <v:textpath style="font-family:&quot;WeiRuanYaHei&quot;" string="zfb.zht 2022-01-21 16:55:40"/>
        </v:shape>
      </w:pict>
    </w:r>
    <w:r>
      <w:pict>
        <v:shape id="_x0000_s2488" type="#_x0000_t136" style="height:20pt;margin-left:0;margin-top:200pt;position:absolute;rotation:-40;width:100pt;z-index:252102656" fillcolor="#eae9e7" strokecolor="#eae9e7">
          <v:textpath style="font-family:&quot;WeiRuanYaHei&quot;" string="zfb.zht 2022-01-21 16:55:40"/>
        </v:shape>
      </w:pict>
    </w:r>
    <w:r>
      <w:pict>
        <v:shape id="_x0000_s2489" type="#_x0000_t136" style="height:20pt;margin-left:0;margin-top:400pt;position:absolute;rotation:-40;width:100pt;z-index:252103680" fillcolor="#eae9e7" strokecolor="#eae9e7">
          <v:textpath style="font-family:&quot;WeiRuanYaHei&quot;" string="zfb.zht 2022-01-21 16:55:40"/>
        </v:shape>
      </w:pict>
    </w:r>
    <w:r>
      <w:pict>
        <v:shape id="_x0000_s2490" type="#_x0000_t136" style="height:20pt;margin-left:0;margin-top:600pt;position:absolute;rotation:-40;width:100pt;z-index:252104704" fillcolor="#eae9e7" strokecolor="#eae9e7">
          <v:textpath style="font-family:&quot;WeiRuanYaHei&quot;" string="zfb.zht 2022-01-21 16:55:40"/>
        </v:shape>
      </w:pict>
    </w:r>
    <w:r>
      <w:pict>
        <v:shape id="_x0000_s2491" type="#_x0000_t136" style="height:20pt;margin-left:200pt;margin-top:0;position:absolute;rotation:-40;width:100pt;z-index:252105728" fillcolor="#eae9e7" strokecolor="#eae9e7">
          <v:textpath style="font-family:&quot;WeiRuanYaHei&quot;" string="zfb.zht 2022-01-21 16:55:40"/>
        </v:shape>
      </w:pict>
    </w:r>
    <w:r>
      <w:pict>
        <v:shape id="_x0000_s2492" type="#_x0000_t136" style="height:20pt;margin-left:200pt;margin-top:200pt;position:absolute;rotation:-40;width:100pt;z-index:252106752" fillcolor="#eae9e7" strokecolor="#eae9e7">
          <v:textpath style="font-family:&quot;WeiRuanYaHei&quot;" string="zfb.zht 2022-01-21 16:55:40"/>
        </v:shape>
      </w:pict>
    </w:r>
    <w:r>
      <w:pict>
        <v:shape id="_x0000_s2493" type="#_x0000_t136" style="height:20pt;margin-left:200pt;margin-top:400pt;position:absolute;rotation:-40;width:100pt;z-index:252107776" fillcolor="#eae9e7" strokecolor="#eae9e7">
          <v:textpath style="font-family:&quot;WeiRuanYaHei&quot;" string="zfb.zht 2022-01-21 16:55:40"/>
        </v:shape>
      </w:pict>
    </w:r>
    <w:r>
      <w:pict>
        <v:shape id="_x0000_s2494" type="#_x0000_t136" style="height:20pt;margin-left:200pt;margin-top:600pt;position:absolute;rotation:-40;width:100pt;z-index:252108800" fillcolor="#eae9e7" strokecolor="#eae9e7">
          <v:textpath style="font-family:&quot;WeiRuanYaHei&quot;" string="zfb.zht 2022-01-21 16:55:40"/>
        </v:shape>
      </w:pict>
    </w:r>
    <w:r>
      <w:pict>
        <v:shape id="_x0000_s2495" type="#_x0000_t136" style="height:20pt;margin-left:400pt;margin-top:0;position:absolute;rotation:-40;width:100pt;z-index:252109824" fillcolor="#eae9e7" strokecolor="#eae9e7">
          <v:textpath style="font-family:&quot;WeiRuanYaHei&quot;" string="zfb.zht 2022-01-21 16:55:40"/>
        </v:shape>
      </w:pict>
    </w:r>
    <w:r>
      <w:pict>
        <v:shape id="_x0000_s2496" type="#_x0000_t136" style="height:20pt;margin-left:400pt;margin-top:200pt;position:absolute;rotation:-40;width:100pt;z-index:252110848" fillcolor="#eae9e7" strokecolor="#eae9e7">
          <v:textpath style="font-family:&quot;WeiRuanYaHei&quot;" string="zfb.zht 2022-01-21 16:55:40"/>
        </v:shape>
      </w:pict>
    </w:r>
    <w:r>
      <w:pict>
        <v:shape id="_x0000_s2497" type="#_x0000_t136" style="height:20pt;margin-left:400pt;margin-top:400pt;position:absolute;rotation:-40;width:100pt;z-index:252111872" fillcolor="#eae9e7" strokecolor="#eae9e7">
          <v:textpath style="font-family:&quot;WeiRuanYaHei&quot;" string="zfb.zht 2022-01-21 16:55:40"/>
        </v:shape>
      </w:pict>
    </w:r>
    <w:r>
      <w:pict>
        <v:shape id="_x0000_s2498" type="#_x0000_t136" style="height:20pt;margin-left:400pt;margin-top:600pt;position:absolute;rotation:-40;width:100pt;z-index:252112896" fillcolor="#eae9e7" strokecolor="#eae9e7">
          <v:textpath style="font-family:&quot;WeiRuanYaHei&quot;" string="zfb.zht 2022-01-21 16:55:40"/>
        </v:shape>
      </w:pic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500" type="#_x0000_t136" style="height:20pt;margin-left:0;margin-top:0;position:absolute;rotation:-40;width:100pt;z-index:252113920" fillcolor="#eae9e7" strokecolor="#eae9e7">
          <v:textpath style="font-family:&quot;WeiRuanYaHei&quot;" string="zfb.zht 2022-01-21 16:55:40"/>
        </v:shape>
      </w:pict>
    </w:r>
    <w:r>
      <w:pict>
        <v:shape id="_x0000_s2501" type="#_x0000_t136" style="height:20pt;margin-left:0;margin-top:200pt;position:absolute;rotation:-40;width:100pt;z-index:252114944" fillcolor="#eae9e7" strokecolor="#eae9e7">
          <v:textpath style="font-family:&quot;WeiRuanYaHei&quot;" string="zfb.zht 2022-01-21 16:55:40"/>
        </v:shape>
      </w:pict>
    </w:r>
    <w:r>
      <w:pict>
        <v:shape id="_x0000_s2502" type="#_x0000_t136" style="height:20pt;margin-left:0;margin-top:400pt;position:absolute;rotation:-40;width:100pt;z-index:252115968" fillcolor="#eae9e7" strokecolor="#eae9e7">
          <v:textpath style="font-family:&quot;WeiRuanYaHei&quot;" string="zfb.zht 2022-01-21 16:55:40"/>
        </v:shape>
      </w:pict>
    </w:r>
    <w:r>
      <w:pict>
        <v:shape id="_x0000_s2503" type="#_x0000_t136" style="height:20pt;margin-left:0;margin-top:600pt;position:absolute;rotation:-40;width:100pt;z-index:252116992" fillcolor="#eae9e7" strokecolor="#eae9e7">
          <v:textpath style="font-family:&quot;WeiRuanYaHei&quot;" string="zfb.zht 2022-01-21 16:55:40"/>
        </v:shape>
      </w:pict>
    </w:r>
    <w:r>
      <w:pict>
        <v:shape id="_x0000_s2504" type="#_x0000_t136" style="height:20pt;margin-left:200pt;margin-top:0;position:absolute;rotation:-40;width:100pt;z-index:252118016" fillcolor="#eae9e7" strokecolor="#eae9e7">
          <v:textpath style="font-family:&quot;WeiRuanYaHei&quot;" string="zfb.zht 2022-01-21 16:55:40"/>
        </v:shape>
      </w:pict>
    </w:r>
    <w:r>
      <w:pict>
        <v:shape id="_x0000_s2505" type="#_x0000_t136" style="height:20pt;margin-left:200pt;margin-top:200pt;position:absolute;rotation:-40;width:100pt;z-index:252119040" fillcolor="#eae9e7" strokecolor="#eae9e7">
          <v:textpath style="font-family:&quot;WeiRuanYaHei&quot;" string="zfb.zht 2022-01-21 16:55:40"/>
        </v:shape>
      </w:pict>
    </w:r>
    <w:r>
      <w:pict>
        <v:shape id="_x0000_s2506" type="#_x0000_t136" style="height:20pt;margin-left:200pt;margin-top:400pt;position:absolute;rotation:-40;width:100pt;z-index:252120064" fillcolor="#eae9e7" strokecolor="#eae9e7">
          <v:textpath style="font-family:&quot;WeiRuanYaHei&quot;" string="zfb.zht 2022-01-21 16:55:40"/>
        </v:shape>
      </w:pict>
    </w:r>
    <w:r>
      <w:pict>
        <v:shape id="_x0000_s2507" type="#_x0000_t136" style="height:20pt;margin-left:200pt;margin-top:600pt;position:absolute;rotation:-40;width:100pt;z-index:252121088" fillcolor="#eae9e7" strokecolor="#eae9e7">
          <v:textpath style="font-family:&quot;WeiRuanYaHei&quot;" string="zfb.zht 2022-01-21 16:55:40"/>
        </v:shape>
      </w:pict>
    </w:r>
    <w:r>
      <w:pict>
        <v:shape id="_x0000_s2508" type="#_x0000_t136" style="height:20pt;margin-left:400pt;margin-top:0;position:absolute;rotation:-40;width:100pt;z-index:252122112" fillcolor="#eae9e7" strokecolor="#eae9e7">
          <v:textpath style="font-family:&quot;WeiRuanYaHei&quot;" string="zfb.zht 2022-01-21 16:55:40"/>
        </v:shape>
      </w:pict>
    </w:r>
    <w:r>
      <w:pict>
        <v:shape id="_x0000_s2509" type="#_x0000_t136" style="height:20pt;margin-left:400pt;margin-top:200pt;position:absolute;rotation:-40;width:100pt;z-index:252123136" fillcolor="#eae9e7" strokecolor="#eae9e7">
          <v:textpath style="font-family:&quot;WeiRuanYaHei&quot;" string="zfb.zht 2022-01-21 16:55:40"/>
        </v:shape>
      </w:pict>
    </w:r>
    <w:r>
      <w:pict>
        <v:shape id="_x0000_s2510" type="#_x0000_t136" style="height:20pt;margin-left:400pt;margin-top:400pt;position:absolute;rotation:-40;width:100pt;z-index:252124160" fillcolor="#eae9e7" strokecolor="#eae9e7">
          <v:textpath style="font-family:&quot;WeiRuanYaHei&quot;" string="zfb.zht 2022-01-21 16:55:40"/>
        </v:shape>
      </w:pict>
    </w:r>
    <w:r>
      <w:pict>
        <v:shape id="_x0000_s2511" type="#_x0000_t136" style="height:20pt;margin-left:400pt;margin-top:600pt;position:absolute;rotation:-40;width:100pt;z-index:252125184" fillcolor="#eae9e7" strokecolor="#eae9e7">
          <v:textpath style="font-family:&quot;WeiRuanYaHei&quot;" string="zfb.zht 2022-01-21 16:55:40"/>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10" type="#_x0000_t136" style="height:20pt;margin-left:0;margin-top:0;position:absolute;rotation:-40;width:100pt;z-index:251720704" fillcolor="#eae9e7" strokecolor="#eae9e7">
          <v:textpath style="font-family:&quot;WeiRuanYaHei&quot;" string="zfb.zht 2022-01-21 16:55:40"/>
        </v:shape>
      </w:pict>
    </w:r>
    <w:r>
      <w:pict>
        <v:shape id="_x0000_s2111" type="#_x0000_t136" style="height:20pt;margin-left:0;margin-top:200pt;position:absolute;rotation:-40;width:100pt;z-index:251721728" fillcolor="#eae9e7" strokecolor="#eae9e7">
          <v:textpath style="font-family:&quot;WeiRuanYaHei&quot;" string="zfb.zht 2022-01-21 16:55:40"/>
        </v:shape>
      </w:pict>
    </w:r>
    <w:r>
      <w:pict>
        <v:shape id="_x0000_s2112" type="#_x0000_t136" style="height:20pt;margin-left:0;margin-top:400pt;position:absolute;rotation:-40;width:100pt;z-index:251722752" fillcolor="#eae9e7" strokecolor="#eae9e7">
          <v:textpath style="font-family:&quot;WeiRuanYaHei&quot;" string="zfb.zht 2022-01-21 16:55:40"/>
        </v:shape>
      </w:pict>
    </w:r>
    <w:r>
      <w:pict>
        <v:shape id="_x0000_s2113" type="#_x0000_t136" style="height:20pt;margin-left:0;margin-top:600pt;position:absolute;rotation:-40;width:100pt;z-index:251723776" fillcolor="#eae9e7" strokecolor="#eae9e7">
          <v:textpath style="font-family:&quot;WeiRuanYaHei&quot;" string="zfb.zht 2022-01-21 16:55:40"/>
        </v:shape>
      </w:pict>
    </w:r>
    <w:r>
      <w:pict>
        <v:shape id="_x0000_s2114" type="#_x0000_t136" style="height:20pt;margin-left:200pt;margin-top:0;position:absolute;rotation:-40;width:100pt;z-index:251724800" fillcolor="#eae9e7" strokecolor="#eae9e7">
          <v:textpath style="font-family:&quot;WeiRuanYaHei&quot;" string="zfb.zht 2022-01-21 16:55:40"/>
        </v:shape>
      </w:pict>
    </w:r>
    <w:r>
      <w:pict>
        <v:shape id="_x0000_s2115" type="#_x0000_t136" style="height:20pt;margin-left:200pt;margin-top:200pt;position:absolute;rotation:-40;width:100pt;z-index:251725824" fillcolor="#eae9e7" strokecolor="#eae9e7">
          <v:textpath style="font-family:&quot;WeiRuanYaHei&quot;" string="zfb.zht 2022-01-21 16:55:40"/>
        </v:shape>
      </w:pict>
    </w:r>
    <w:r>
      <w:pict>
        <v:shape id="_x0000_s2116" type="#_x0000_t136" style="height:20pt;margin-left:200pt;margin-top:400pt;position:absolute;rotation:-40;width:100pt;z-index:251726848" fillcolor="#eae9e7" strokecolor="#eae9e7">
          <v:textpath style="font-family:&quot;WeiRuanYaHei&quot;" string="zfb.zht 2022-01-21 16:55:40"/>
        </v:shape>
      </w:pict>
    </w:r>
    <w:r>
      <w:pict>
        <v:shape id="_x0000_s2117" type="#_x0000_t136" style="height:20pt;margin-left:200pt;margin-top:600pt;position:absolute;rotation:-40;width:100pt;z-index:251727872" fillcolor="#eae9e7" strokecolor="#eae9e7">
          <v:textpath style="font-family:&quot;WeiRuanYaHei&quot;" string="zfb.zht 2022-01-21 16:55:40"/>
        </v:shape>
      </w:pict>
    </w:r>
    <w:r>
      <w:pict>
        <v:shape id="_x0000_s2118" type="#_x0000_t136" style="height:20pt;margin-left:400pt;margin-top:0;position:absolute;rotation:-40;width:100pt;z-index:251728896" fillcolor="#eae9e7" strokecolor="#eae9e7">
          <v:textpath style="font-family:&quot;WeiRuanYaHei&quot;" string="zfb.zht 2022-01-21 16:55:40"/>
        </v:shape>
      </w:pict>
    </w:r>
    <w:r>
      <w:pict>
        <v:shape id="_x0000_s2119" type="#_x0000_t136" style="height:20pt;margin-left:400pt;margin-top:200pt;position:absolute;rotation:-40;width:100pt;z-index:251729920" fillcolor="#eae9e7" strokecolor="#eae9e7">
          <v:textpath style="font-family:&quot;WeiRuanYaHei&quot;" string="zfb.zht 2022-01-21 16:55:40"/>
        </v:shape>
      </w:pict>
    </w:r>
    <w:r>
      <w:pict>
        <v:shape id="_x0000_s2120" type="#_x0000_t136" style="height:20pt;margin-left:400pt;margin-top:400pt;position:absolute;rotation:-40;width:100pt;z-index:251730944" fillcolor="#eae9e7" strokecolor="#eae9e7">
          <v:textpath style="font-family:&quot;WeiRuanYaHei&quot;" string="zfb.zht 2022-01-21 16:55:40"/>
        </v:shape>
      </w:pict>
    </w:r>
    <w:r>
      <w:pict>
        <v:shape id="_x0000_s2121" type="#_x0000_t136" style="height:20pt;margin-left:400pt;margin-top:600pt;position:absolute;rotation:-40;width:100pt;z-index:251731968" fillcolor="#eae9e7" strokecolor="#eae9e7">
          <v:textpath style="font-family:&quot;WeiRuanYaHei&quot;" string="zfb.zht 2022-01-21 16:55:40"/>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548" type="#_x0000_t136" style="height:20pt;margin-left:0;margin-top:0;position:absolute;rotation:-40;width:100pt;z-index:252163072" fillcolor="#eae9e7" strokecolor="#eae9e7">
          <v:textpath style="font-family:&quot;WeiRuanYaHei&quot;" string="zfb.zht 2022-01-21 16:55:40"/>
        </v:shape>
      </w:pict>
    </w:r>
    <w:r>
      <w:pict>
        <v:shape id="_x0000_s2549" type="#_x0000_t136" style="height:20pt;margin-left:0;margin-top:200pt;position:absolute;rotation:-40;width:100pt;z-index:252164096" fillcolor="#eae9e7" strokecolor="#eae9e7">
          <v:textpath style="font-family:&quot;WeiRuanYaHei&quot;" string="zfb.zht 2022-01-21 16:55:40"/>
        </v:shape>
      </w:pict>
    </w:r>
    <w:r>
      <w:pict>
        <v:shape id="_x0000_s2550" type="#_x0000_t136" style="height:20pt;margin-left:0;margin-top:400pt;position:absolute;rotation:-40;width:100pt;z-index:252165120" fillcolor="#eae9e7" strokecolor="#eae9e7">
          <v:textpath style="font-family:&quot;WeiRuanYaHei&quot;" string="zfb.zht 2022-01-21 16:55:40"/>
        </v:shape>
      </w:pict>
    </w:r>
    <w:r>
      <w:pict>
        <v:shape id="_x0000_s2551" type="#_x0000_t136" style="height:20pt;margin-left:0;margin-top:600pt;position:absolute;rotation:-40;width:100pt;z-index:252166144" fillcolor="#eae9e7" strokecolor="#eae9e7">
          <v:textpath style="font-family:&quot;WeiRuanYaHei&quot;" string="zfb.zht 2022-01-21 16:55:40"/>
        </v:shape>
      </w:pict>
    </w:r>
    <w:r>
      <w:pict>
        <v:shape id="_x0000_s2552" type="#_x0000_t136" style="height:20pt;margin-left:200pt;margin-top:0;position:absolute;rotation:-40;width:100pt;z-index:252167168" fillcolor="#eae9e7" strokecolor="#eae9e7">
          <v:textpath style="font-family:&quot;WeiRuanYaHei&quot;" string="zfb.zht 2022-01-21 16:55:40"/>
        </v:shape>
      </w:pict>
    </w:r>
    <w:r>
      <w:pict>
        <v:shape id="_x0000_s2553" type="#_x0000_t136" style="height:20pt;margin-left:200pt;margin-top:200pt;position:absolute;rotation:-40;width:100pt;z-index:252168192" fillcolor="#eae9e7" strokecolor="#eae9e7">
          <v:textpath style="font-family:&quot;WeiRuanYaHei&quot;" string="zfb.zht 2022-01-21 16:55:40"/>
        </v:shape>
      </w:pict>
    </w:r>
    <w:r>
      <w:pict>
        <v:shape id="_x0000_s2554" type="#_x0000_t136" style="height:20pt;margin-left:200pt;margin-top:400pt;position:absolute;rotation:-40;width:100pt;z-index:252169216" fillcolor="#eae9e7" strokecolor="#eae9e7">
          <v:textpath style="font-family:&quot;WeiRuanYaHei&quot;" string="zfb.zht 2022-01-21 16:55:40"/>
        </v:shape>
      </w:pict>
    </w:r>
    <w:r>
      <w:pict>
        <v:shape id="_x0000_s2555" type="#_x0000_t136" style="height:20pt;margin-left:200pt;margin-top:600pt;position:absolute;rotation:-40;width:100pt;z-index:252170240" fillcolor="#eae9e7" strokecolor="#eae9e7">
          <v:textpath style="font-family:&quot;WeiRuanYaHei&quot;" string="zfb.zht 2022-01-21 16:55:40"/>
        </v:shape>
      </w:pict>
    </w:r>
    <w:r>
      <w:pict>
        <v:shape id="_x0000_s2556" type="#_x0000_t136" style="height:20pt;margin-left:400pt;margin-top:0;position:absolute;rotation:-40;width:100pt;z-index:252171264" fillcolor="#eae9e7" strokecolor="#eae9e7">
          <v:textpath style="font-family:&quot;WeiRuanYaHei&quot;" string="zfb.zht 2022-01-21 16:55:40"/>
        </v:shape>
      </w:pict>
    </w:r>
    <w:r>
      <w:pict>
        <v:shape id="_x0000_s2557" type="#_x0000_t136" style="height:20pt;margin-left:400pt;margin-top:200pt;position:absolute;rotation:-40;width:100pt;z-index:252172288" fillcolor="#eae9e7" strokecolor="#eae9e7">
          <v:textpath style="font-family:&quot;WeiRuanYaHei&quot;" string="zfb.zht 2022-01-21 16:55:40"/>
        </v:shape>
      </w:pict>
    </w:r>
    <w:r>
      <w:pict>
        <v:shape id="_x0000_s2558" type="#_x0000_t136" style="height:20pt;margin-left:400pt;margin-top:400pt;position:absolute;rotation:-40;width:100pt;z-index:252173312" fillcolor="#eae9e7" strokecolor="#eae9e7">
          <v:textpath style="font-family:&quot;WeiRuanYaHei&quot;" string="zfb.zht 2022-01-21 16:55:40"/>
        </v:shape>
      </w:pict>
    </w:r>
    <w:r>
      <w:pict>
        <v:shape id="_x0000_s2559" type="#_x0000_t136" style="height:20pt;margin-left:400pt;margin-top:600pt;position:absolute;rotation:-40;width:100pt;z-index:252174336" fillcolor="#eae9e7" strokecolor="#eae9e7">
          <v:textpath style="font-family:&quot;WeiRuanYaHei&quot;" string="zfb.zht 2022-01-21 16:55:40"/>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524" type="#_x0000_t136" style="height:20pt;margin-left:0;margin-top:0;position:absolute;rotation:-40;width:100pt;z-index:252138496" fillcolor="#eae9e7" strokecolor="#eae9e7">
          <v:textpath style="font-family:&quot;WeiRuanYaHei&quot;" string="zfb.zht 2022-01-21 16:55:40"/>
        </v:shape>
      </w:pict>
    </w:r>
    <w:r>
      <w:pict>
        <v:shape id="_x0000_s2525" type="#_x0000_t136" style="height:20pt;margin-left:0;margin-top:200pt;position:absolute;rotation:-40;width:100pt;z-index:252139520" fillcolor="#eae9e7" strokecolor="#eae9e7">
          <v:textpath style="font-family:&quot;WeiRuanYaHei&quot;" string="zfb.zht 2022-01-21 16:55:40"/>
        </v:shape>
      </w:pict>
    </w:r>
    <w:r>
      <w:pict>
        <v:shape id="_x0000_s2526" type="#_x0000_t136" style="height:20pt;margin-left:0;margin-top:400pt;position:absolute;rotation:-40;width:100pt;z-index:252140544" fillcolor="#eae9e7" strokecolor="#eae9e7">
          <v:textpath style="font-family:&quot;WeiRuanYaHei&quot;" string="zfb.zht 2022-01-21 16:55:40"/>
        </v:shape>
      </w:pict>
    </w:r>
    <w:r>
      <w:pict>
        <v:shape id="_x0000_s2527" type="#_x0000_t136" style="height:20pt;margin-left:0;margin-top:600pt;position:absolute;rotation:-40;width:100pt;z-index:252141568" fillcolor="#eae9e7" strokecolor="#eae9e7">
          <v:textpath style="font-family:&quot;WeiRuanYaHei&quot;" string="zfb.zht 2022-01-21 16:55:40"/>
        </v:shape>
      </w:pict>
    </w:r>
    <w:r>
      <w:pict>
        <v:shape id="_x0000_s2528" type="#_x0000_t136" style="height:20pt;margin-left:200pt;margin-top:0;position:absolute;rotation:-40;width:100pt;z-index:252142592" fillcolor="#eae9e7" strokecolor="#eae9e7">
          <v:textpath style="font-family:&quot;WeiRuanYaHei&quot;" string="zfb.zht 2022-01-21 16:55:40"/>
        </v:shape>
      </w:pict>
    </w:r>
    <w:r>
      <w:pict>
        <v:shape id="_x0000_s2529" type="#_x0000_t136" style="height:20pt;margin-left:200pt;margin-top:200pt;position:absolute;rotation:-40;width:100pt;z-index:252143616" fillcolor="#eae9e7" strokecolor="#eae9e7">
          <v:textpath style="font-family:&quot;WeiRuanYaHei&quot;" string="zfb.zht 2022-01-21 16:55:40"/>
        </v:shape>
      </w:pict>
    </w:r>
    <w:r>
      <w:pict>
        <v:shape id="_x0000_s2530" type="#_x0000_t136" style="height:20pt;margin-left:200pt;margin-top:400pt;position:absolute;rotation:-40;width:100pt;z-index:252144640" fillcolor="#eae9e7" strokecolor="#eae9e7">
          <v:textpath style="font-family:&quot;WeiRuanYaHei&quot;" string="zfb.zht 2022-01-21 16:55:40"/>
        </v:shape>
      </w:pict>
    </w:r>
    <w:r>
      <w:pict>
        <v:shape id="_x0000_s2531" type="#_x0000_t136" style="height:20pt;margin-left:200pt;margin-top:600pt;position:absolute;rotation:-40;width:100pt;z-index:252145664" fillcolor="#eae9e7" strokecolor="#eae9e7">
          <v:textpath style="font-family:&quot;WeiRuanYaHei&quot;" string="zfb.zht 2022-01-21 16:55:40"/>
        </v:shape>
      </w:pict>
    </w:r>
    <w:r>
      <w:pict>
        <v:shape id="_x0000_s2532" type="#_x0000_t136" style="height:20pt;margin-left:400pt;margin-top:0;position:absolute;rotation:-40;width:100pt;z-index:252146688" fillcolor="#eae9e7" strokecolor="#eae9e7">
          <v:textpath style="font-family:&quot;WeiRuanYaHei&quot;" string="zfb.zht 2022-01-21 16:55:40"/>
        </v:shape>
      </w:pict>
    </w:r>
    <w:r>
      <w:pict>
        <v:shape id="_x0000_s2533" type="#_x0000_t136" style="height:20pt;margin-left:400pt;margin-top:200pt;position:absolute;rotation:-40;width:100pt;z-index:252147712" fillcolor="#eae9e7" strokecolor="#eae9e7">
          <v:textpath style="font-family:&quot;WeiRuanYaHei&quot;" string="zfb.zht 2022-01-21 16:55:40"/>
        </v:shape>
      </w:pict>
    </w:r>
    <w:r>
      <w:pict>
        <v:shape id="_x0000_s2534" type="#_x0000_t136" style="height:20pt;margin-left:400pt;margin-top:400pt;position:absolute;rotation:-40;width:100pt;z-index:252148736" fillcolor="#eae9e7" strokecolor="#eae9e7">
          <v:textpath style="font-family:&quot;WeiRuanYaHei&quot;" string="zfb.zht 2022-01-21 16:55:40"/>
        </v:shape>
      </w:pict>
    </w:r>
    <w:r>
      <w:pict>
        <v:shape id="_x0000_s2535" type="#_x0000_t136" style="height:20pt;margin-left:400pt;margin-top:600pt;position:absolute;rotation:-40;width:100pt;z-index:252149760" fillcolor="#eae9e7" strokecolor="#eae9e7">
          <v:textpath style="font-family:&quot;WeiRuanYaHei&quot;" string="zfb.zht 2022-01-21 16:55:40"/>
        </v:shape>
      </w:pic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536" type="#_x0000_t136" style="height:20pt;margin-left:0;margin-top:0;position:absolute;rotation:-40;width:100pt;z-index:252150784" fillcolor="#eae9e7" strokecolor="#eae9e7">
          <v:textpath style="font-family:&quot;WeiRuanYaHei&quot;" string="zfb.zht 2022-01-21 16:55:40"/>
        </v:shape>
      </w:pict>
    </w:r>
    <w:r>
      <w:pict>
        <v:shape id="_x0000_s2537" type="#_x0000_t136" style="height:20pt;margin-left:0;margin-top:200pt;position:absolute;rotation:-40;width:100pt;z-index:252151808" fillcolor="#eae9e7" strokecolor="#eae9e7">
          <v:textpath style="font-family:&quot;WeiRuanYaHei&quot;" string="zfb.zht 2022-01-21 16:55:40"/>
        </v:shape>
      </w:pict>
    </w:r>
    <w:r>
      <w:pict>
        <v:shape id="_x0000_s2538" type="#_x0000_t136" style="height:20pt;margin-left:0;margin-top:400pt;position:absolute;rotation:-40;width:100pt;z-index:252152832" fillcolor="#eae9e7" strokecolor="#eae9e7">
          <v:textpath style="font-family:&quot;WeiRuanYaHei&quot;" string="zfb.zht 2022-01-21 16:55:40"/>
        </v:shape>
      </w:pict>
    </w:r>
    <w:r>
      <w:pict>
        <v:shape id="_x0000_s2539" type="#_x0000_t136" style="height:20pt;margin-left:0;margin-top:600pt;position:absolute;rotation:-40;width:100pt;z-index:252153856" fillcolor="#eae9e7" strokecolor="#eae9e7">
          <v:textpath style="font-family:&quot;WeiRuanYaHei&quot;" string="zfb.zht 2022-01-21 16:55:40"/>
        </v:shape>
      </w:pict>
    </w:r>
    <w:r>
      <w:pict>
        <v:shape id="_x0000_s2540" type="#_x0000_t136" style="height:20pt;margin-left:200pt;margin-top:0;position:absolute;rotation:-40;width:100pt;z-index:252154880" fillcolor="#eae9e7" strokecolor="#eae9e7">
          <v:textpath style="font-family:&quot;WeiRuanYaHei&quot;" string="zfb.zht 2022-01-21 16:55:40"/>
        </v:shape>
      </w:pict>
    </w:r>
    <w:r>
      <w:pict>
        <v:shape id="_x0000_s2541" type="#_x0000_t136" style="height:20pt;margin-left:200pt;margin-top:200pt;position:absolute;rotation:-40;width:100pt;z-index:252155904" fillcolor="#eae9e7" strokecolor="#eae9e7">
          <v:textpath style="font-family:&quot;WeiRuanYaHei&quot;" string="zfb.zht 2022-01-21 16:55:40"/>
        </v:shape>
      </w:pict>
    </w:r>
    <w:r>
      <w:pict>
        <v:shape id="_x0000_s2542" type="#_x0000_t136" style="height:20pt;margin-left:200pt;margin-top:400pt;position:absolute;rotation:-40;width:100pt;z-index:252156928" fillcolor="#eae9e7" strokecolor="#eae9e7">
          <v:textpath style="font-family:&quot;WeiRuanYaHei&quot;" string="zfb.zht 2022-01-21 16:55:40"/>
        </v:shape>
      </w:pict>
    </w:r>
    <w:r>
      <w:pict>
        <v:shape id="_x0000_s2543" type="#_x0000_t136" style="height:20pt;margin-left:200pt;margin-top:600pt;position:absolute;rotation:-40;width:100pt;z-index:252157952" fillcolor="#eae9e7" strokecolor="#eae9e7">
          <v:textpath style="font-family:&quot;WeiRuanYaHei&quot;" string="zfb.zht 2022-01-21 16:55:40"/>
        </v:shape>
      </w:pict>
    </w:r>
    <w:r>
      <w:pict>
        <v:shape id="_x0000_s2544" type="#_x0000_t136" style="height:20pt;margin-left:400pt;margin-top:0;position:absolute;rotation:-40;width:100pt;z-index:252158976" fillcolor="#eae9e7" strokecolor="#eae9e7">
          <v:textpath style="font-family:&quot;WeiRuanYaHei&quot;" string="zfb.zht 2022-01-21 16:55:40"/>
        </v:shape>
      </w:pict>
    </w:r>
    <w:r>
      <w:pict>
        <v:shape id="_x0000_s2545" type="#_x0000_t136" style="height:20pt;margin-left:400pt;margin-top:200pt;position:absolute;rotation:-40;width:100pt;z-index:252160000" fillcolor="#eae9e7" strokecolor="#eae9e7">
          <v:textpath style="font-family:&quot;WeiRuanYaHei&quot;" string="zfb.zht 2022-01-21 16:55:40"/>
        </v:shape>
      </w:pict>
    </w:r>
    <w:r>
      <w:pict>
        <v:shape id="_x0000_s2546" type="#_x0000_t136" style="height:20pt;margin-left:400pt;margin-top:400pt;position:absolute;rotation:-40;width:100pt;z-index:252161024" fillcolor="#eae9e7" strokecolor="#eae9e7">
          <v:textpath style="font-family:&quot;WeiRuanYaHei&quot;" string="zfb.zht 2022-01-21 16:55:40"/>
        </v:shape>
      </w:pict>
    </w:r>
    <w:r>
      <w:pict>
        <v:shape id="_x0000_s2547" type="#_x0000_t136" style="height:20pt;margin-left:400pt;margin-top:600pt;position:absolute;rotation:-40;width:100pt;z-index:252162048" fillcolor="#eae9e7" strokecolor="#eae9e7">
          <v:textpath style="font-family:&quot;WeiRuanYaHei&quot;" string="zfb.zht 2022-01-21 16:55:40"/>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12F60">
    <w:pPr>
      <w:pStyle w:val="Header"/>
    </w:pPr>
  </w:p>
  <w:p>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5" type="#_x0000_t136" style="height:20pt;margin-left:0;margin-top:0;position:absolute;rotation:-40;width:100pt;z-index:251695104" fillcolor="#eae9e7" strokecolor="#eae9e7">
          <v:textpath style="font-family:&quot;WeiRuanYaHei&quot;" string="zfb.zht 2022-01-21 16:55:40"/>
        </v:shape>
      </w:pict>
    </w:r>
    <w:r>
      <w:pict>
        <v:shape id="_x0000_s2086" type="#_x0000_t136" style="height:20pt;margin-left:0;margin-top:200pt;position:absolute;rotation:-40;width:100pt;z-index:251696128" fillcolor="#eae9e7" strokecolor="#eae9e7">
          <v:textpath style="font-family:&quot;WeiRuanYaHei&quot;" string="zfb.zht 2022-01-21 16:55:40"/>
        </v:shape>
      </w:pict>
    </w:r>
    <w:r>
      <w:pict>
        <v:shape id="_x0000_s2087" type="#_x0000_t136" style="height:20pt;margin-left:0;margin-top:400pt;position:absolute;rotation:-40;width:100pt;z-index:251697152" fillcolor="#eae9e7" strokecolor="#eae9e7">
          <v:textpath style="font-family:&quot;WeiRuanYaHei&quot;" string="zfb.zht 2022-01-21 16:55:40"/>
        </v:shape>
      </w:pict>
    </w:r>
    <w:r>
      <w:pict>
        <v:shape id="_x0000_s2088" type="#_x0000_t136" style="height:20pt;margin-left:0;margin-top:600pt;position:absolute;rotation:-40;width:100pt;z-index:251698176" fillcolor="#eae9e7" strokecolor="#eae9e7">
          <v:textpath style="font-family:&quot;WeiRuanYaHei&quot;" string="zfb.zht 2022-01-21 16:55:40"/>
        </v:shape>
      </w:pict>
    </w:r>
    <w:r>
      <w:pict>
        <v:shape id="_x0000_s2089" type="#_x0000_t136" style="height:20pt;margin-left:200pt;margin-top:0;position:absolute;rotation:-40;width:100pt;z-index:251699200" fillcolor="#eae9e7" strokecolor="#eae9e7">
          <v:textpath style="font-family:&quot;WeiRuanYaHei&quot;" string="zfb.zht 2022-01-21 16:55:40"/>
        </v:shape>
      </w:pict>
    </w:r>
    <w:r>
      <w:pict>
        <v:shape id="_x0000_s2090" type="#_x0000_t136" style="height:20pt;margin-left:200pt;margin-top:200pt;position:absolute;rotation:-40;width:100pt;z-index:251700224" fillcolor="#eae9e7" strokecolor="#eae9e7">
          <v:textpath style="font-family:&quot;WeiRuanYaHei&quot;" string="zfb.zht 2022-01-21 16:55:40"/>
        </v:shape>
      </w:pict>
    </w:r>
    <w:r>
      <w:pict>
        <v:shape id="_x0000_s2091" type="#_x0000_t136" style="height:20pt;margin-left:200pt;margin-top:400pt;position:absolute;rotation:-40;width:100pt;z-index:251701248" fillcolor="#eae9e7" strokecolor="#eae9e7">
          <v:textpath style="font-family:&quot;WeiRuanYaHei&quot;" string="zfb.zht 2022-01-21 16:55:40"/>
        </v:shape>
      </w:pict>
    </w:r>
    <w:r>
      <w:pict>
        <v:shape id="_x0000_s2092" type="#_x0000_t136" style="height:20pt;margin-left:200pt;margin-top:600pt;position:absolute;rotation:-40;width:100pt;z-index:251702272" fillcolor="#eae9e7" strokecolor="#eae9e7">
          <v:textpath style="font-family:&quot;WeiRuanYaHei&quot;" string="zfb.zht 2022-01-21 16:55:40"/>
        </v:shape>
      </w:pict>
    </w:r>
    <w:r>
      <w:pict>
        <v:shape id="_x0000_s2093" type="#_x0000_t136" style="height:20pt;margin-left:400pt;margin-top:0;position:absolute;rotation:-40;width:100pt;z-index:251703296" fillcolor="#eae9e7" strokecolor="#eae9e7">
          <v:textpath style="font-family:&quot;WeiRuanYaHei&quot;" string="zfb.zht 2022-01-21 16:55:40"/>
        </v:shape>
      </w:pict>
    </w:r>
    <w:r>
      <w:pict>
        <v:shape id="_x0000_s2094" type="#_x0000_t136" style="height:20pt;margin-left:400pt;margin-top:200pt;position:absolute;rotation:-40;width:100pt;z-index:251704320" fillcolor="#eae9e7" strokecolor="#eae9e7">
          <v:textpath style="font-family:&quot;WeiRuanYaHei&quot;" string="zfb.zht 2022-01-21 16:55:40"/>
        </v:shape>
      </w:pict>
    </w:r>
    <w:r>
      <w:pict>
        <v:shape id="_x0000_s2095" type="#_x0000_t136" style="height:20pt;margin-left:400pt;margin-top:400pt;position:absolute;rotation:-40;width:100pt;z-index:251705344" fillcolor="#eae9e7" strokecolor="#eae9e7">
          <v:textpath style="font-family:&quot;WeiRuanYaHei&quot;" string="zfb.zht 2022-01-21 16:55:40"/>
        </v:shape>
      </w:pict>
    </w:r>
    <w:r>
      <w:pict>
        <v:shape id="_x0000_s2096" type="#_x0000_t136" style="height:20pt;margin-left:400pt;margin-top:600pt;position:absolute;rotation:-40;width:100pt;z-index:251706368" fillcolor="#eae9e7" strokecolor="#eae9e7">
          <v:textpath style="font-family:&quot;WeiRuanYaHei&quot;" string="zfb.zht 2022-01-21 16:55:40"/>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8" type="#_x0000_t136" style="height:20pt;margin-left:0;margin-top:0;position:absolute;rotation:-40;width:100pt;z-index:251708416" fillcolor="#eae9e7" strokecolor="#eae9e7">
          <v:textpath style="font-family:&quot;WeiRuanYaHei&quot;" string="zfb.zht 2022-01-21 16:55:40"/>
        </v:shape>
      </w:pict>
    </w:r>
    <w:r>
      <w:pict>
        <v:shape id="_x0000_s2099" type="#_x0000_t136" style="height:20pt;margin-left:0;margin-top:200pt;position:absolute;rotation:-40;width:100pt;z-index:251709440" fillcolor="#eae9e7" strokecolor="#eae9e7">
          <v:textpath style="font-family:&quot;WeiRuanYaHei&quot;" string="zfb.zht 2022-01-21 16:55:40"/>
        </v:shape>
      </w:pict>
    </w:r>
    <w:r>
      <w:pict>
        <v:shape id="_x0000_s2100" type="#_x0000_t136" style="height:20pt;margin-left:0;margin-top:400pt;position:absolute;rotation:-40;width:100pt;z-index:251710464" fillcolor="#eae9e7" strokecolor="#eae9e7">
          <v:textpath style="font-family:&quot;WeiRuanYaHei&quot;" string="zfb.zht 2022-01-21 16:55:40"/>
        </v:shape>
      </w:pict>
    </w:r>
    <w:r>
      <w:pict>
        <v:shape id="_x0000_s2101" type="#_x0000_t136" style="height:20pt;margin-left:0;margin-top:600pt;position:absolute;rotation:-40;width:100pt;z-index:251711488" fillcolor="#eae9e7" strokecolor="#eae9e7">
          <v:textpath style="font-family:&quot;WeiRuanYaHei&quot;" string="zfb.zht 2022-01-21 16:55:40"/>
        </v:shape>
      </w:pict>
    </w:r>
    <w:r>
      <w:pict>
        <v:shape id="_x0000_s2102" type="#_x0000_t136" style="height:20pt;margin-left:200pt;margin-top:0;position:absolute;rotation:-40;width:100pt;z-index:251712512" fillcolor="#eae9e7" strokecolor="#eae9e7">
          <v:textpath style="font-family:&quot;WeiRuanYaHei&quot;" string="zfb.zht 2022-01-21 16:55:40"/>
        </v:shape>
      </w:pict>
    </w:r>
    <w:r>
      <w:pict>
        <v:shape id="_x0000_s2103" type="#_x0000_t136" style="height:20pt;margin-left:200pt;margin-top:200pt;position:absolute;rotation:-40;width:100pt;z-index:251713536" fillcolor="#eae9e7" strokecolor="#eae9e7">
          <v:textpath style="font-family:&quot;WeiRuanYaHei&quot;" string="zfb.zht 2022-01-21 16:55:40"/>
        </v:shape>
      </w:pict>
    </w:r>
    <w:r>
      <w:pict>
        <v:shape id="_x0000_s2104" type="#_x0000_t136" style="height:20pt;margin-left:200pt;margin-top:400pt;position:absolute;rotation:-40;width:100pt;z-index:251714560" fillcolor="#eae9e7" strokecolor="#eae9e7">
          <v:textpath style="font-family:&quot;WeiRuanYaHei&quot;" string="zfb.zht 2022-01-21 16:55:40"/>
        </v:shape>
      </w:pict>
    </w:r>
    <w:r>
      <w:pict>
        <v:shape id="_x0000_s2105" type="#_x0000_t136" style="height:20pt;margin-left:200pt;margin-top:600pt;position:absolute;rotation:-40;width:100pt;z-index:251715584" fillcolor="#eae9e7" strokecolor="#eae9e7">
          <v:textpath style="font-family:&quot;WeiRuanYaHei&quot;" string="zfb.zht 2022-01-21 16:55:40"/>
        </v:shape>
      </w:pict>
    </w:r>
    <w:r>
      <w:pict>
        <v:shape id="_x0000_s2106" type="#_x0000_t136" style="height:20pt;margin-left:400pt;margin-top:0;position:absolute;rotation:-40;width:100pt;z-index:251716608" fillcolor="#eae9e7" strokecolor="#eae9e7">
          <v:textpath style="font-family:&quot;WeiRuanYaHei&quot;" string="zfb.zht 2022-01-21 16:55:40"/>
        </v:shape>
      </w:pict>
    </w:r>
    <w:r>
      <w:pict>
        <v:shape id="_x0000_s2107" type="#_x0000_t136" style="height:20pt;margin-left:400pt;margin-top:200pt;position:absolute;rotation:-40;width:100pt;z-index:251717632" fillcolor="#eae9e7" strokecolor="#eae9e7">
          <v:textpath style="font-family:&quot;WeiRuanYaHei&quot;" string="zfb.zht 2022-01-21 16:55:40"/>
        </v:shape>
      </w:pict>
    </w:r>
    <w:r>
      <w:pict>
        <v:shape id="_x0000_s2108" type="#_x0000_t136" style="height:20pt;margin-left:400pt;margin-top:400pt;position:absolute;rotation:-40;width:100pt;z-index:251718656" fillcolor="#eae9e7" strokecolor="#eae9e7">
          <v:textpath style="font-family:&quot;WeiRuanYaHei&quot;" string="zfb.zht 2022-01-21 16:55:40"/>
        </v:shape>
      </w:pict>
    </w:r>
    <w:r>
      <w:pict>
        <v:shape id="_x0000_s2109" type="#_x0000_t136" style="height:20pt;margin-left:400pt;margin-top:600pt;position:absolute;rotation:-40;width:100pt;z-index:251719680" fillcolor="#eae9e7" strokecolor="#eae9e7">
          <v:textpath style="font-family:&quot;WeiRuanYaHei&quot;" string="zfb.zht 2022-01-21 16:55:40"/>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47" type="#_x0000_t136" style="height:20pt;margin-left:0;margin-top:0;position:absolute;rotation:-40;width:100pt;z-index:251757568" fillcolor="#eae9e7" strokecolor="#eae9e7">
          <v:textpath style="font-family:&quot;WeiRuanYaHei&quot;" string="zfb.zht 2022-01-21 16:55:40"/>
        </v:shape>
      </w:pict>
    </w:r>
    <w:r>
      <w:pict>
        <v:shape id="_x0000_s2148" type="#_x0000_t136" style="height:20pt;margin-left:0;margin-top:200pt;position:absolute;rotation:-40;width:100pt;z-index:251758592" fillcolor="#eae9e7" strokecolor="#eae9e7">
          <v:textpath style="font-family:&quot;WeiRuanYaHei&quot;" string="zfb.zht 2022-01-21 16:55:40"/>
        </v:shape>
      </w:pict>
    </w:r>
    <w:r>
      <w:pict>
        <v:shape id="_x0000_s2149" type="#_x0000_t136" style="height:20pt;margin-left:0;margin-top:400pt;position:absolute;rotation:-40;width:100pt;z-index:251759616" fillcolor="#eae9e7" strokecolor="#eae9e7">
          <v:textpath style="font-family:&quot;WeiRuanYaHei&quot;" string="zfb.zht 2022-01-21 16:55:40"/>
        </v:shape>
      </w:pict>
    </w:r>
    <w:r>
      <w:pict>
        <v:shape id="_x0000_s2150" type="#_x0000_t136" style="height:20pt;margin-left:0;margin-top:600pt;position:absolute;rotation:-40;width:100pt;z-index:251760640" fillcolor="#eae9e7" strokecolor="#eae9e7">
          <v:textpath style="font-family:&quot;WeiRuanYaHei&quot;" string="zfb.zht 2022-01-21 16:55:40"/>
        </v:shape>
      </w:pict>
    </w:r>
    <w:r>
      <w:pict>
        <v:shape id="_x0000_s2151" type="#_x0000_t136" style="height:20pt;margin-left:200pt;margin-top:0;position:absolute;rotation:-40;width:100pt;z-index:251761664" fillcolor="#eae9e7" strokecolor="#eae9e7">
          <v:textpath style="font-family:&quot;WeiRuanYaHei&quot;" string="zfb.zht 2022-01-21 16:55:40"/>
        </v:shape>
      </w:pict>
    </w:r>
    <w:r>
      <w:pict>
        <v:shape id="_x0000_s2152" type="#_x0000_t136" style="height:20pt;margin-left:200pt;margin-top:200pt;position:absolute;rotation:-40;width:100pt;z-index:251762688" fillcolor="#eae9e7" strokecolor="#eae9e7">
          <v:textpath style="font-family:&quot;WeiRuanYaHei&quot;" string="zfb.zht 2022-01-21 16:55:40"/>
        </v:shape>
      </w:pict>
    </w:r>
    <w:r>
      <w:pict>
        <v:shape id="_x0000_s2153" type="#_x0000_t136" style="height:20pt;margin-left:200pt;margin-top:400pt;position:absolute;rotation:-40;width:100pt;z-index:251763712" fillcolor="#eae9e7" strokecolor="#eae9e7">
          <v:textpath style="font-family:&quot;WeiRuanYaHei&quot;" string="zfb.zht 2022-01-21 16:55:40"/>
        </v:shape>
      </w:pict>
    </w:r>
    <w:r>
      <w:pict>
        <v:shape id="_x0000_s2154" type="#_x0000_t136" style="height:20pt;margin-left:200pt;margin-top:600pt;position:absolute;rotation:-40;width:100pt;z-index:251764736" fillcolor="#eae9e7" strokecolor="#eae9e7">
          <v:textpath style="font-family:&quot;WeiRuanYaHei&quot;" string="zfb.zht 2022-01-21 16:55:40"/>
        </v:shape>
      </w:pict>
    </w:r>
    <w:r>
      <w:pict>
        <v:shape id="_x0000_s2155" type="#_x0000_t136" style="height:20pt;margin-left:400pt;margin-top:0;position:absolute;rotation:-40;width:100pt;z-index:251765760" fillcolor="#eae9e7" strokecolor="#eae9e7">
          <v:textpath style="font-family:&quot;WeiRuanYaHei&quot;" string="zfb.zht 2022-01-21 16:55:40"/>
        </v:shape>
      </w:pict>
    </w:r>
    <w:r>
      <w:pict>
        <v:shape id="_x0000_s2156" type="#_x0000_t136" style="height:20pt;margin-left:400pt;margin-top:200pt;position:absolute;rotation:-40;width:100pt;z-index:251766784" fillcolor="#eae9e7" strokecolor="#eae9e7">
          <v:textpath style="font-family:&quot;WeiRuanYaHei&quot;" string="zfb.zht 2022-01-21 16:55:40"/>
        </v:shape>
      </w:pict>
    </w:r>
    <w:r>
      <w:pict>
        <v:shape id="_x0000_s2157" type="#_x0000_t136" style="height:20pt;margin-left:400pt;margin-top:400pt;position:absolute;rotation:-40;width:100pt;z-index:251767808" fillcolor="#eae9e7" strokecolor="#eae9e7">
          <v:textpath style="font-family:&quot;WeiRuanYaHei&quot;" string="zfb.zht 2022-01-21 16:55:40"/>
        </v:shape>
      </w:pict>
    </w:r>
    <w:r>
      <w:pict>
        <v:shape id="_x0000_s2158" type="#_x0000_t136" style="height:20pt;margin-left:400pt;margin-top:600pt;position:absolute;rotation:-40;width:100pt;z-index:251768832" fillcolor="#eae9e7" strokecolor="#eae9e7">
          <v:textpath style="font-family:&quot;WeiRuanYaHei&quot;" string="zfb.zht 2022-01-21 16:55:40"/>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23" type="#_x0000_t136" style="height:20pt;margin-left:0;margin-top:0;position:absolute;rotation:-40;width:100pt;z-index:251732992" fillcolor="#eae9e7" strokecolor="#eae9e7">
          <v:textpath style="font-family:&quot;WeiRuanYaHei&quot;" string="zfb.zht 2022-01-21 16:55:40"/>
        </v:shape>
      </w:pict>
    </w:r>
    <w:r>
      <w:pict>
        <v:shape id="_x0000_s2124" type="#_x0000_t136" style="height:20pt;margin-left:0;margin-top:200pt;position:absolute;rotation:-40;width:100pt;z-index:251734016" fillcolor="#eae9e7" strokecolor="#eae9e7">
          <v:textpath style="font-family:&quot;WeiRuanYaHei&quot;" string="zfb.zht 2022-01-21 16:55:40"/>
        </v:shape>
      </w:pict>
    </w:r>
    <w:r>
      <w:pict>
        <v:shape id="_x0000_s2125" type="#_x0000_t136" style="height:20pt;margin-left:0;margin-top:400pt;position:absolute;rotation:-40;width:100pt;z-index:251735040" fillcolor="#eae9e7" strokecolor="#eae9e7">
          <v:textpath style="font-family:&quot;WeiRuanYaHei&quot;" string="zfb.zht 2022-01-21 16:55:40"/>
        </v:shape>
      </w:pict>
    </w:r>
    <w:r>
      <w:pict>
        <v:shape id="_x0000_s2126" type="#_x0000_t136" style="height:20pt;margin-left:0;margin-top:600pt;position:absolute;rotation:-40;width:100pt;z-index:251736064" fillcolor="#eae9e7" strokecolor="#eae9e7">
          <v:textpath style="font-family:&quot;WeiRuanYaHei&quot;" string="zfb.zht 2022-01-21 16:55:40"/>
        </v:shape>
      </w:pict>
    </w:r>
    <w:r>
      <w:pict>
        <v:shape id="_x0000_s2127" type="#_x0000_t136" style="height:20pt;margin-left:200pt;margin-top:0;position:absolute;rotation:-40;width:100pt;z-index:251737088" fillcolor="#eae9e7" strokecolor="#eae9e7">
          <v:textpath style="font-family:&quot;WeiRuanYaHei&quot;" string="zfb.zht 2022-01-21 16:55:40"/>
        </v:shape>
      </w:pict>
    </w:r>
    <w:r>
      <w:pict>
        <v:shape id="_x0000_s2128" type="#_x0000_t136" style="height:20pt;margin-left:200pt;margin-top:200pt;position:absolute;rotation:-40;width:100pt;z-index:251738112" fillcolor="#eae9e7" strokecolor="#eae9e7">
          <v:textpath style="font-family:&quot;WeiRuanYaHei&quot;" string="zfb.zht 2022-01-21 16:55:40"/>
        </v:shape>
      </w:pict>
    </w:r>
    <w:r>
      <w:pict>
        <v:shape id="_x0000_s2129" type="#_x0000_t136" style="height:20pt;margin-left:200pt;margin-top:400pt;position:absolute;rotation:-40;width:100pt;z-index:251739136" fillcolor="#eae9e7" strokecolor="#eae9e7">
          <v:textpath style="font-family:&quot;WeiRuanYaHei&quot;" string="zfb.zht 2022-01-21 16:55:40"/>
        </v:shape>
      </w:pict>
    </w:r>
    <w:r>
      <w:pict>
        <v:shape id="_x0000_s2130" type="#_x0000_t136" style="height:20pt;margin-left:200pt;margin-top:600pt;position:absolute;rotation:-40;width:100pt;z-index:251740160" fillcolor="#eae9e7" strokecolor="#eae9e7">
          <v:textpath style="font-family:&quot;WeiRuanYaHei&quot;" string="zfb.zht 2022-01-21 16:55:40"/>
        </v:shape>
      </w:pict>
    </w:r>
    <w:r>
      <w:pict>
        <v:shape id="_x0000_s2131" type="#_x0000_t136" style="height:20pt;margin-left:400pt;margin-top:0;position:absolute;rotation:-40;width:100pt;z-index:251741184" fillcolor="#eae9e7" strokecolor="#eae9e7">
          <v:textpath style="font-family:&quot;WeiRuanYaHei&quot;" string="zfb.zht 2022-01-21 16:55:40"/>
        </v:shape>
      </w:pict>
    </w:r>
    <w:r>
      <w:pict>
        <v:shape id="_x0000_s2132" type="#_x0000_t136" style="height:20pt;margin-left:400pt;margin-top:200pt;position:absolute;rotation:-40;width:100pt;z-index:251742208" fillcolor="#eae9e7" strokecolor="#eae9e7">
          <v:textpath style="font-family:&quot;WeiRuanYaHei&quot;" string="zfb.zht 2022-01-21 16:55:40"/>
        </v:shape>
      </w:pict>
    </w:r>
    <w:r>
      <w:pict>
        <v:shape id="_x0000_s2133" type="#_x0000_t136" style="height:20pt;margin-left:400pt;margin-top:400pt;position:absolute;rotation:-40;width:100pt;z-index:251743232" fillcolor="#eae9e7" strokecolor="#eae9e7">
          <v:textpath style="font-family:&quot;WeiRuanYaHei&quot;" string="zfb.zht 2022-01-21 16:55:40"/>
        </v:shape>
      </w:pict>
    </w:r>
    <w:r>
      <w:pict>
        <v:shape id="_x0000_s2134" type="#_x0000_t136" style="height:20pt;margin-left:400pt;margin-top:600pt;position:absolute;rotation:-40;width:100pt;z-index:251744256" fillcolor="#eae9e7" strokecolor="#eae9e7">
          <v:textpath style="font-family:&quot;WeiRuanYaHei&quot;" string="zfb.zht 2022-01-21 16:55:40"/>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35" type="#_x0000_t136" style="height:20pt;margin-left:0;margin-top:0;position:absolute;rotation:-40;width:100pt;z-index:251745280" fillcolor="#eae9e7" strokecolor="#eae9e7">
          <v:textpath style="font-family:&quot;WeiRuanYaHei&quot;" string="zfb.zht 2022-01-21 16:55:40"/>
        </v:shape>
      </w:pict>
    </w:r>
    <w:r>
      <w:pict>
        <v:shape id="_x0000_s2136" type="#_x0000_t136" style="height:20pt;margin-left:0;margin-top:200pt;position:absolute;rotation:-40;width:100pt;z-index:251746304" fillcolor="#eae9e7" strokecolor="#eae9e7">
          <v:textpath style="font-family:&quot;WeiRuanYaHei&quot;" string="zfb.zht 2022-01-21 16:55:40"/>
        </v:shape>
      </w:pict>
    </w:r>
    <w:r>
      <w:pict>
        <v:shape id="_x0000_s2137" type="#_x0000_t136" style="height:20pt;margin-left:0;margin-top:400pt;position:absolute;rotation:-40;width:100pt;z-index:251747328" fillcolor="#eae9e7" strokecolor="#eae9e7">
          <v:textpath style="font-family:&quot;WeiRuanYaHei&quot;" string="zfb.zht 2022-01-21 16:55:40"/>
        </v:shape>
      </w:pict>
    </w:r>
    <w:r>
      <w:pict>
        <v:shape id="_x0000_s2138" type="#_x0000_t136" style="height:20pt;margin-left:0;margin-top:600pt;position:absolute;rotation:-40;width:100pt;z-index:251748352" fillcolor="#eae9e7" strokecolor="#eae9e7">
          <v:textpath style="font-family:&quot;WeiRuanYaHei&quot;" string="zfb.zht 2022-01-21 16:55:40"/>
        </v:shape>
      </w:pict>
    </w:r>
    <w:r>
      <w:pict>
        <v:shape id="_x0000_s2139" type="#_x0000_t136" style="height:20pt;margin-left:200pt;margin-top:0;position:absolute;rotation:-40;width:100pt;z-index:251749376" fillcolor="#eae9e7" strokecolor="#eae9e7">
          <v:textpath style="font-family:&quot;WeiRuanYaHei&quot;" string="zfb.zht 2022-01-21 16:55:40"/>
        </v:shape>
      </w:pict>
    </w:r>
    <w:r>
      <w:pict>
        <v:shape id="_x0000_s2140" type="#_x0000_t136" style="height:20pt;margin-left:200pt;margin-top:200pt;position:absolute;rotation:-40;width:100pt;z-index:251750400" fillcolor="#eae9e7" strokecolor="#eae9e7">
          <v:textpath style="font-family:&quot;WeiRuanYaHei&quot;" string="zfb.zht 2022-01-21 16:55:40"/>
        </v:shape>
      </w:pict>
    </w:r>
    <w:r>
      <w:pict>
        <v:shape id="_x0000_s2141" type="#_x0000_t136" style="height:20pt;margin-left:200pt;margin-top:400pt;position:absolute;rotation:-40;width:100pt;z-index:251751424" fillcolor="#eae9e7" strokecolor="#eae9e7">
          <v:textpath style="font-family:&quot;WeiRuanYaHei&quot;" string="zfb.zht 2022-01-21 16:55:40"/>
        </v:shape>
      </w:pict>
    </w:r>
    <w:r>
      <w:pict>
        <v:shape id="_x0000_s2142" type="#_x0000_t136" style="height:20pt;margin-left:200pt;margin-top:600pt;position:absolute;rotation:-40;width:100pt;z-index:251752448" fillcolor="#eae9e7" strokecolor="#eae9e7">
          <v:textpath style="font-family:&quot;WeiRuanYaHei&quot;" string="zfb.zht 2022-01-21 16:55:40"/>
        </v:shape>
      </w:pict>
    </w:r>
    <w:r>
      <w:pict>
        <v:shape id="_x0000_s2143" type="#_x0000_t136" style="height:20pt;margin-left:400pt;margin-top:0;position:absolute;rotation:-40;width:100pt;z-index:251753472" fillcolor="#eae9e7" strokecolor="#eae9e7">
          <v:textpath style="font-family:&quot;WeiRuanYaHei&quot;" string="zfb.zht 2022-01-21 16:55:40"/>
        </v:shape>
      </w:pict>
    </w:r>
    <w:r>
      <w:pict>
        <v:shape id="_x0000_s2144" type="#_x0000_t136" style="height:20pt;margin-left:400pt;margin-top:200pt;position:absolute;rotation:-40;width:100pt;z-index:251754496" fillcolor="#eae9e7" strokecolor="#eae9e7">
          <v:textpath style="font-family:&quot;WeiRuanYaHei&quot;" string="zfb.zht 2022-01-21 16:55:40"/>
        </v:shape>
      </w:pict>
    </w:r>
    <w:r>
      <w:pict>
        <v:shape id="_x0000_s2145" type="#_x0000_t136" style="height:20pt;margin-left:400pt;margin-top:400pt;position:absolute;rotation:-40;width:100pt;z-index:251755520" fillcolor="#eae9e7" strokecolor="#eae9e7">
          <v:textpath style="font-family:&quot;WeiRuanYaHei&quot;" string="zfb.zht 2022-01-21 16:55:40"/>
        </v:shape>
      </w:pict>
    </w:r>
    <w:r>
      <w:pict>
        <v:shape id="_x0000_s2146" type="#_x0000_t136" style="height:20pt;margin-left:400pt;margin-top:600pt;position:absolute;rotation:-40;width:100pt;z-index:251756544" fillcolor="#eae9e7" strokecolor="#eae9e7">
          <v:textpath style="font-family:&quot;WeiRuanYaHei&quot;" string="zfb.zht 2022-01-21 16:55:40"/>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DDAEF831"/>
    <w:multiLevelType w:val="singleLevel"/>
    <w:tmpl w:val="DDAEF831"/>
    <w:lvl w:ilvl="0">
      <w:start w:val="3"/>
      <w:numFmt w:val="decimal"/>
      <w:suff w:val="nothing"/>
      <w:lvlText w:val="（%1）"/>
      <w:lvlJc w:val="left"/>
    </w:lvl>
  </w:abstractNum>
  <w:abstractNum w:abstractNumId="1">
    <w:nsid w:val="0000000C"/>
    <w:multiLevelType w:val="multilevel"/>
    <w:tmpl w:val="0000000C"/>
    <w:lvl w:ilvl="0">
      <w:start w:val="1"/>
      <w:numFmt w:val="chineseCountingThousand"/>
      <w:suff w:val="nothing"/>
      <w:lvlText w:val="%1、"/>
      <w:lvlJc w:val="left"/>
      <w:pPr>
        <w:ind w:left="0" w:firstLine="400"/>
      </w:pPr>
      <w:rPr>
        <w:rFonts w:ascii="Times New Roman" w:hint="default"/>
        <w:u w:val="none"/>
      </w:rPr>
    </w:lvl>
    <w:lvl w:ilvl="1">
      <w:start w:val="1"/>
      <w:numFmt w:val="chineseCountingThousand"/>
      <w:suff w:val="nothing"/>
      <w:lvlText w:val="（%2）"/>
      <w:lvlJc w:val="left"/>
      <w:pPr>
        <w:ind w:left="2860" w:firstLine="400"/>
      </w:pPr>
      <w:rPr>
        <w:rFonts w:ascii="Times New Roman" w:hint="default"/>
        <w:u w:val="none"/>
        <w:lang w:val="en-US"/>
      </w:rPr>
    </w:lvl>
    <w:lvl w:ilvl="2">
      <w:start w:val="1"/>
      <w:numFmt w:val="decimal"/>
      <w:suff w:val="space"/>
      <w:lvlText w:val="%3."/>
      <w:lvlJc w:val="left"/>
      <w:pPr>
        <w:ind w:left="147" w:firstLine="420"/>
      </w:pPr>
      <w:rPr>
        <w:rFonts w:ascii="Times New Roman" w:hint="default"/>
        <w:u w:val="none"/>
      </w:rPr>
    </w:lvl>
    <w:lvl w:ilvl="3">
      <w:start w:val="1"/>
      <w:numFmt w:val="decimal"/>
      <w:suff w:val="nothing"/>
      <w:lvlText w:val="（%4）"/>
      <w:lvlJc w:val="left"/>
      <w:pPr>
        <w:ind w:left="-258" w:firstLine="400"/>
      </w:pPr>
      <w:rPr>
        <w:rFonts w:ascii="Times New Roman" w:hint="default"/>
        <w:u w:val="none"/>
      </w:rPr>
    </w:lvl>
    <w:lvl w:ilvl="4">
      <w:start w:val="1"/>
      <w:numFmt w:val="decimal"/>
      <w:pStyle w:val="5"/>
      <w:lvlText w:val="%1.%2.%3.%4.%5"/>
      <w:lvlJc w:val="left"/>
      <w:pPr>
        <w:ind w:left="0" w:firstLine="0"/>
      </w:pPr>
      <w:rPr>
        <w:rFonts w:ascii="Times New Roman" w:hint="default"/>
        <w:u w:val="none"/>
      </w:rPr>
    </w:lvl>
    <w:lvl w:ilvl="5">
      <w:start w:val="1"/>
      <w:numFmt w:val="decimal"/>
      <w:lvlText w:val="%1.%2.%3.%4.%5.%6"/>
      <w:lvlJc w:val="left"/>
      <w:pPr>
        <w:ind w:left="0" w:firstLine="0"/>
      </w:pPr>
      <w:rPr>
        <w:rFonts w:ascii="Times New Roman" w:hint="default"/>
        <w:u w:val="none"/>
      </w:rPr>
    </w:lvl>
    <w:lvl w:ilvl="6">
      <w:start w:val="1"/>
      <w:numFmt w:val="decimal"/>
      <w:lvlText w:val="%1.%2.%3.%4.%5.%6.%7"/>
      <w:lvlJc w:val="left"/>
      <w:pPr>
        <w:ind w:left="0" w:firstLine="0"/>
      </w:pPr>
      <w:rPr>
        <w:rFonts w:ascii="Times New Roman" w:hint="default"/>
        <w:u w:val="none"/>
      </w:rPr>
    </w:lvl>
    <w:lvl w:ilvl="7">
      <w:start w:val="1"/>
      <w:numFmt w:val="decimal"/>
      <w:lvlText w:val="%1.%2.%3.%4.%5.%6.%7.%8"/>
      <w:lvlJc w:val="left"/>
      <w:pPr>
        <w:ind w:left="0" w:firstLine="0"/>
      </w:pPr>
      <w:rPr>
        <w:rFonts w:ascii="Times New Roman" w:hint="default"/>
        <w:u w:val="none"/>
      </w:rPr>
    </w:lvl>
    <w:lvl w:ilvl="8">
      <w:start w:val="1"/>
      <w:numFmt w:val="decimal"/>
      <w:lvlText w:val="%1.%2.%3.%4.%5.%6.%7.%8.%9"/>
      <w:lvlJc w:val="left"/>
      <w:pPr>
        <w:ind w:left="0" w:firstLine="0"/>
      </w:pPr>
      <w:rPr>
        <w:rFonts w:ascii="Times New Roman" w:hint="default"/>
        <w:u w:val="none"/>
      </w:rPr>
    </w:lvl>
  </w:abstractNum>
  <w:abstractNum w:abstractNumId="2">
    <w:nsid w:val="00000010"/>
    <w:multiLevelType w:val="multilevel"/>
    <w:tmpl w:val="00000010"/>
    <w:lvl w:ilvl="0">
      <w:start w:val="1"/>
      <w:numFmt w:val="decimalEnclosedCircle"/>
      <w:lvlText w:val="%1"/>
      <w:lvlJc w:val="left"/>
      <w:pPr>
        <w:ind w:left="922" w:hanging="360"/>
      </w:pPr>
      <w:rPr>
        <w:rFonts w:ascii="仿宋_GB2312" w:eastAsia="仿宋_GB2312" w:hAnsi="仿宋" w:hint="default"/>
        <w:u w:val="none"/>
      </w:rPr>
    </w:lvl>
    <w:lvl w:ilvl="1">
      <w:start w:val="1"/>
      <w:numFmt w:val="lowerLetter"/>
      <w:lvlText w:val="%2)"/>
      <w:lvlJc w:val="left"/>
      <w:pPr>
        <w:ind w:left="1402" w:hanging="420"/>
      </w:pPr>
      <w:rPr>
        <w:rFonts w:ascii="Times New Roman" w:hint="default"/>
        <w:u w:val="none"/>
      </w:rPr>
    </w:lvl>
    <w:lvl w:ilvl="2">
      <w:start w:val="1"/>
      <w:numFmt w:val="lowerRoman"/>
      <w:lvlText w:val="%3."/>
      <w:lvlJc w:val="right"/>
      <w:pPr>
        <w:ind w:left="1822" w:hanging="420"/>
      </w:pPr>
      <w:rPr>
        <w:rFonts w:ascii="Times New Roman" w:hint="default"/>
        <w:u w:val="none"/>
      </w:rPr>
    </w:lvl>
    <w:lvl w:ilvl="3">
      <w:start w:val="1"/>
      <w:numFmt w:val="decimal"/>
      <w:pStyle w:val="Heading4"/>
      <w:lvlText w:val="%4."/>
      <w:lvlJc w:val="left"/>
      <w:pPr>
        <w:ind w:left="2242" w:hanging="420"/>
      </w:pPr>
      <w:rPr>
        <w:rFonts w:ascii="Times New Roman" w:hint="default"/>
        <w:u w:val="none"/>
      </w:rPr>
    </w:lvl>
    <w:lvl w:ilvl="4">
      <w:start w:val="1"/>
      <w:numFmt w:val="lowerLetter"/>
      <w:lvlText w:val="%5)"/>
      <w:lvlJc w:val="left"/>
      <w:pPr>
        <w:ind w:left="2662" w:hanging="420"/>
      </w:pPr>
      <w:rPr>
        <w:rFonts w:ascii="Times New Roman" w:hint="default"/>
        <w:u w:val="none"/>
      </w:rPr>
    </w:lvl>
    <w:lvl w:ilvl="5">
      <w:start w:val="1"/>
      <w:numFmt w:val="lowerRoman"/>
      <w:lvlText w:val="%6."/>
      <w:lvlJc w:val="right"/>
      <w:pPr>
        <w:ind w:left="3082" w:hanging="420"/>
      </w:pPr>
      <w:rPr>
        <w:rFonts w:ascii="Times New Roman" w:hint="default"/>
        <w:u w:val="none"/>
      </w:rPr>
    </w:lvl>
    <w:lvl w:ilvl="6">
      <w:start w:val="1"/>
      <w:numFmt w:val="decimal"/>
      <w:lvlText w:val="%7."/>
      <w:lvlJc w:val="left"/>
      <w:pPr>
        <w:ind w:left="3502" w:hanging="420"/>
      </w:pPr>
      <w:rPr>
        <w:rFonts w:ascii="Times New Roman" w:hint="default"/>
        <w:u w:val="none"/>
      </w:rPr>
    </w:lvl>
    <w:lvl w:ilvl="7">
      <w:start w:val="1"/>
      <w:numFmt w:val="lowerLetter"/>
      <w:lvlText w:val="%8)"/>
      <w:lvlJc w:val="left"/>
      <w:pPr>
        <w:ind w:left="3922" w:hanging="420"/>
      </w:pPr>
      <w:rPr>
        <w:rFonts w:ascii="Times New Roman" w:hint="default"/>
        <w:u w:val="none"/>
      </w:rPr>
    </w:lvl>
    <w:lvl w:ilvl="8">
      <w:start w:val="1"/>
      <w:numFmt w:val="lowerRoman"/>
      <w:lvlText w:val="%9."/>
      <w:lvlJc w:val="right"/>
      <w:pPr>
        <w:ind w:left="4342" w:hanging="420"/>
      </w:pPr>
      <w:rPr>
        <w:rFonts w:ascii="Times New Roman" w:hint="default"/>
        <w:u w:val="none"/>
      </w:rPr>
    </w:lvl>
  </w:abstractNum>
  <w:abstractNum w:abstractNumId="3">
    <w:nsid w:val="203D0BD4"/>
    <w:multiLevelType w:val="multilevel"/>
    <w:tmpl w:val="203D0BD4"/>
    <w:lvl w:ilvl="0">
      <w:start w:val="1"/>
      <w:numFmt w:val="decimal"/>
      <w:suff w:val="nothing"/>
      <w:lvlText w:val="（%1）"/>
      <w:lvlJc w:val="left"/>
      <w:pPr>
        <w:ind w:left="0" w:firstLine="0"/>
      </w:pPr>
      <w:rPr>
        <w:rFonts w:hint="default"/>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4">
    <w:nsid w:val="251674E5"/>
    <w:multiLevelType w:val="multilevel"/>
    <w:tmpl w:val="251674E5"/>
    <w:lvl w:ilvl="0">
      <w:start w:val="1"/>
      <w:numFmt w:val="decimal"/>
      <w:lvlText w:val="%1"/>
      <w:lvlJc w:val="center"/>
      <w:pPr>
        <w:ind w:left="132" w:hanging="132"/>
      </w:pPr>
      <w:rPr>
        <w:rFonts w:ascii="Times New Roman" w:hAnsi="Times New Roman" w:hint="default"/>
        <w:sz w:val="24"/>
      </w:rPr>
    </w:lvl>
    <w:lvl w:ilvl="1">
      <w:start w:val="1"/>
      <w:numFmt w:val="lowerLetter"/>
      <w:lvlText w:val="%2)"/>
      <w:lvlJc w:val="left"/>
      <w:pPr>
        <w:ind w:left="552" w:hanging="420"/>
      </w:pPr>
    </w:lvl>
    <w:lvl w:ilvl="2">
      <w:start w:val="1"/>
      <w:numFmt w:val="lowerRoman"/>
      <w:lvlText w:val="%3."/>
      <w:lvlJc w:val="right"/>
      <w:pPr>
        <w:ind w:left="972" w:hanging="420"/>
      </w:pPr>
    </w:lvl>
    <w:lvl w:ilvl="3">
      <w:start w:val="1"/>
      <w:numFmt w:val="decimal"/>
      <w:lvlText w:val="%4."/>
      <w:lvlJc w:val="left"/>
      <w:pPr>
        <w:ind w:left="1392" w:hanging="420"/>
      </w:pPr>
    </w:lvl>
    <w:lvl w:ilvl="4">
      <w:start w:val="1"/>
      <w:numFmt w:val="lowerLetter"/>
      <w:lvlText w:val="%5)"/>
      <w:lvlJc w:val="left"/>
      <w:pPr>
        <w:ind w:left="1812" w:hanging="420"/>
      </w:pPr>
    </w:lvl>
    <w:lvl w:ilvl="5">
      <w:start w:val="1"/>
      <w:numFmt w:val="lowerRoman"/>
      <w:lvlText w:val="%6."/>
      <w:lvlJc w:val="right"/>
      <w:pPr>
        <w:ind w:left="2232" w:hanging="420"/>
      </w:pPr>
    </w:lvl>
    <w:lvl w:ilvl="6">
      <w:start w:val="1"/>
      <w:numFmt w:val="decimal"/>
      <w:lvlText w:val="%7."/>
      <w:lvlJc w:val="left"/>
      <w:pPr>
        <w:ind w:left="2652" w:hanging="420"/>
      </w:pPr>
    </w:lvl>
    <w:lvl w:ilvl="7">
      <w:start w:val="1"/>
      <w:numFmt w:val="lowerLetter"/>
      <w:lvlText w:val="%8)"/>
      <w:lvlJc w:val="left"/>
      <w:pPr>
        <w:ind w:left="3072" w:hanging="420"/>
      </w:pPr>
    </w:lvl>
    <w:lvl w:ilvl="8">
      <w:start w:val="1"/>
      <w:numFmt w:val="lowerRoman"/>
      <w:lvlText w:val="%9."/>
      <w:lvlJc w:val="right"/>
      <w:pPr>
        <w:ind w:left="3492" w:hanging="420"/>
      </w:pPr>
    </w:lvl>
  </w:abstractNum>
  <w:abstractNum w:abstractNumId="5">
    <w:nsid w:val="29717BA4"/>
    <w:multiLevelType w:val="multilevel"/>
    <w:tmpl w:val="29717BA4"/>
    <w:lvl w:ilvl="0">
      <w:start w:val="1"/>
      <w:numFmt w:val="decimal"/>
      <w:lvlText w:val="%1"/>
      <w:lvlJc w:val="left"/>
      <w:pPr>
        <w:ind w:left="425" w:hanging="425"/>
      </w:pPr>
      <w:rPr>
        <w:rFonts w:hint="eastAsia"/>
      </w:rPr>
    </w:lvl>
    <w:lvl w:ilvl="1">
      <w:start w:val="1"/>
      <w:numFmt w:val="decimal"/>
      <w:lvlText w:val="%1.%2 "/>
      <w:lvlJc w:val="left"/>
      <w:pPr>
        <w:ind w:left="567" w:hanging="567"/>
      </w:pPr>
      <w:rPr>
        <w:rFonts w:hint="eastAsia"/>
      </w:rPr>
    </w:lvl>
    <w:lvl w:ilvl="2">
      <w:start w:val="1"/>
      <w:numFmt w:val="decimal"/>
      <w:lvlText w:val="%1.%2.%3 "/>
      <w:lvlJc w:val="left"/>
      <w:pPr>
        <w:ind w:left="709" w:hanging="709"/>
      </w:pPr>
      <w:rPr>
        <w:rFonts w:hint="eastAsia"/>
      </w:rPr>
    </w:lvl>
    <w:lvl w:ilvl="3">
      <w:start w:val="1"/>
      <w:numFmt w:val="decimal"/>
      <w:lvlText w:val="%1.%2.%3.%4 "/>
      <w:lvlJc w:val="left"/>
      <w:pPr>
        <w:ind w:left="851" w:hanging="851"/>
      </w:pPr>
      <w:rPr>
        <w:rFonts w:hint="eastAsia"/>
      </w:rPr>
    </w:lvl>
    <w:lvl w:ilvl="4">
      <w:start w:val="1"/>
      <w:numFmt w:val="decimal"/>
      <w:lvlText w:val="%1.%2.%3.%4.%5 "/>
      <w:lvlJc w:val="left"/>
      <w:pPr>
        <w:ind w:left="992" w:hanging="992"/>
      </w:pPr>
      <w:rPr>
        <w:rFonts w:hint="eastAsia"/>
      </w:rPr>
    </w:lvl>
    <w:lvl w:ilvl="5">
      <w:start w:val="1"/>
      <w:numFmt w:val="decimal"/>
      <w:lvlText w:val="%1.%2.%3.%4.%5.%6 "/>
      <w:lvlJc w:val="left"/>
      <w:pPr>
        <w:ind w:left="1134" w:hanging="1134"/>
      </w:pPr>
      <w:rPr>
        <w:rFonts w:hint="eastAsia"/>
      </w:rPr>
    </w:lvl>
    <w:lvl w:ilvl="6">
      <w:start w:val="1"/>
      <w:numFmt w:val="decimal"/>
      <w:lvlText w:val="%1.%2.%3.%4.%5.%6.%7 "/>
      <w:lvlJc w:val="left"/>
      <w:pPr>
        <w:ind w:left="1276" w:hanging="1276"/>
      </w:pPr>
      <w:rPr>
        <w:rFonts w:hint="eastAsia"/>
      </w:rPr>
    </w:lvl>
    <w:lvl w:ilvl="7">
      <w:start w:val="1"/>
      <w:numFmt w:val="decimal"/>
      <w:lvlText w:val="%1.%2.%3.%4.%5.%6.%7.%8 "/>
      <w:lvlJc w:val="left"/>
      <w:pPr>
        <w:ind w:left="1418" w:hanging="1418"/>
      </w:pPr>
      <w:rPr>
        <w:rFonts w:hint="eastAsia"/>
      </w:rPr>
    </w:lvl>
    <w:lvl w:ilvl="8">
      <w:start w:val="1"/>
      <w:numFmt w:val="decimal"/>
      <w:lvlText w:val="%1.%2.%3.%4.%5.%6.%7.%8.%9 "/>
      <w:lvlJc w:val="left"/>
      <w:pPr>
        <w:ind w:left="1559" w:hanging="1559"/>
      </w:pPr>
      <w:rPr>
        <w:rFonts w:hint="eastAsia"/>
      </w:rPr>
    </w:lvl>
  </w:abstractNum>
  <w:abstractNum w:abstractNumId="6">
    <w:nsid w:val="2AF64ED2"/>
    <w:multiLevelType w:val="multilevel"/>
    <w:tmpl w:val="2AF64ED2"/>
    <w:lvl w:ilvl="0">
      <w:start w:val="1"/>
      <w:numFmt w:val="decimal"/>
      <w:suff w:val="nothing"/>
      <w:lvlText w:val="（%1）"/>
      <w:lvlJc w:val="left"/>
      <w:pPr>
        <w:ind w:left="0" w:firstLine="0"/>
      </w:pPr>
      <w:rPr>
        <w:rFonts w:hint="default"/>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7">
    <w:nsid w:val="35E24D72"/>
    <w:multiLevelType w:val="multilevel"/>
    <w:tmpl w:val="35E24D72"/>
    <w:lvl w:ilvl="0">
      <w:start w:val="1"/>
      <w:numFmt w:val="decimal"/>
      <w:suff w:val="nothing"/>
      <w:lvlText w:val="（%1）"/>
      <w:lvlJc w:val="left"/>
      <w:pPr>
        <w:ind w:left="0" w:firstLine="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8">
    <w:nsid w:val="525C5724"/>
    <w:multiLevelType w:val="hybridMultilevel"/>
    <w:tmpl w:val="88384C8C"/>
    <w:lvl w:ilvl="0">
      <w:start w:val="2"/>
      <w:numFmt w:val="decimalEnclosedCircle"/>
      <w:lvlText w:val="%1"/>
      <w:lvlJc w:val="left"/>
      <w:pPr>
        <w:ind w:left="360" w:hanging="360"/>
      </w:pPr>
      <w:rPr>
        <w:rFonts w:ascii="仿宋_GB2312"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9">
    <w:nsid w:val="550D1D77"/>
    <w:multiLevelType w:val="hybridMultilevel"/>
    <w:tmpl w:val="4D2ACFC6"/>
    <w:lvl w:ilvl="0">
      <w:start w:val="1"/>
      <w:numFmt w:val="decimalEnclosedCircle"/>
      <w:lvlText w:val="%1"/>
      <w:lvlJc w:val="left"/>
      <w:pPr>
        <w:ind w:left="360" w:hanging="360"/>
      </w:pPr>
      <w:rPr>
        <w:rFonts w:ascii="仿宋_GB2312" w:eastAsia="Times New Roman"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59880A3E"/>
    <w:multiLevelType w:val="hybridMultilevel"/>
    <w:tmpl w:val="F814B7CA"/>
    <w:lvl w:ilvl="0">
      <w:start w:val="2"/>
      <w:numFmt w:val="decimalEnclosedCircle"/>
      <w:lvlText w:val="%1"/>
      <w:lvlJc w:val="left"/>
      <w:pPr>
        <w:ind w:left="360" w:hanging="36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1">
    <w:nsid w:val="5E1B0B55"/>
    <w:multiLevelType w:val="multilevel"/>
    <w:tmpl w:val="5E1B0B55"/>
    <w:lvl w:ilvl="0">
      <w:start w:val="1"/>
      <w:numFmt w:val="decimal"/>
      <w:suff w:val="nothing"/>
      <w:lvlText w:val="%1"/>
      <w:lvlJc w:val="center"/>
      <w:pPr>
        <w:ind w:left="0" w:firstLine="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6EBDC4BC"/>
    <w:multiLevelType w:val="singleLevel"/>
    <w:tmpl w:val="6EBDC4BC"/>
    <w:lvl w:ilvl="0">
      <w:start w:val="1"/>
      <w:numFmt w:val="decimal"/>
      <w:suff w:val="nothing"/>
      <w:lvlText w:val="（%1）"/>
      <w:lvlJc w:val="left"/>
      <w:pPr>
        <w:tabs>
          <w:tab w:val="left" w:pos="0"/>
        </w:tabs>
      </w:pPr>
      <w:rPr>
        <w:rFonts w:hint="default"/>
      </w:rPr>
    </w:lvl>
  </w:abstractNum>
  <w:abstractNum w:abstractNumId="13">
    <w:nsid w:val="713E1FE9"/>
    <w:multiLevelType w:val="multilevel"/>
    <w:tmpl w:val="713E1FE9"/>
    <w:lvl w:ilvl="0">
      <w:start w:val="1"/>
      <w:numFmt w:val="decimal"/>
      <w:pStyle w:val="a3"/>
      <w:suff w:val="nothing"/>
      <w:lvlText w:val="附图%1："/>
      <w:lvlJc w:val="left"/>
      <w:pPr>
        <w:ind w:left="0" w:firstLine="0"/>
      </w:pPr>
      <w:rPr>
        <w:rFonts w:hint="eastAsia"/>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num>
  <w:num w:numId="2">
    <w:abstractNumId w:val="1"/>
  </w:num>
  <w:num w:numId="3">
    <w:abstractNumId w:val="13"/>
  </w:num>
  <w:num w:numId="4">
    <w:abstractNumId w:val="5"/>
  </w:num>
  <w:num w:numId="5">
    <w:abstractNumId w:val="12"/>
  </w:num>
  <w:num w:numId="6">
    <w:abstractNumId w:val="0"/>
  </w:num>
  <w:num w:numId="7">
    <w:abstractNumId w:val="7"/>
  </w:num>
  <w:num w:numId="8">
    <w:abstractNumId w:val="3"/>
  </w:num>
  <w:num w:numId="9">
    <w:abstractNumId w:val="6"/>
  </w:num>
  <w:num w:numId="10">
    <w:abstractNumId w:val="11"/>
  </w:num>
  <w:num w:numId="11">
    <w:abstractNumId w:val="4"/>
  </w:num>
  <w:num w:numId="12">
    <w:abstractNumId w:val="10"/>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saveSubsetFonts/>
  <w:bordersDoNotSurroundHeader/>
  <w:bordersDoNotSurroundFooter/>
  <w:attachedTemplate r:id="rId1"/>
  <w:defaultTabStop w:val="420"/>
  <w:drawingGridHorizontalSpacing w:val="160"/>
  <w:drawingGridVerticalSpacing w:val="435"/>
  <w:displayHorizontalDrawingGridEvery w:val="0"/>
  <w:displayVerticalDrawingGridEvery w:val="2"/>
  <w:characterSpacingControl w:val="compressPunctuation"/>
  <w:doNotValidateAgainstSchema/>
  <w:doNotDemarcateInvalidXml/>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unhideWhenUsed="1" w:qFormat="1"/>
    <w:lsdException w:name="annotation text" w:unhideWhenUsed="1" w:qFormat="1"/>
    <w:lsdException w:name="header" w:qFormat="1"/>
    <w:lsdException w:name="footer"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uiPriority="0" w:qFormat="1"/>
    <w:lsdException w:name="endnote reference" w:unhideWhenUsed="1" w:qFormat="1"/>
    <w:lsdException w:name="endnote text"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0" w:qFormat="1"/>
    <w:lsdException w:name="Body Text" w:uiPriority="1" w:qFormat="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unhideWhenUsed="1" w:qFormat="1"/>
    <w:lsdException w:name="Body Text Indent 3" w:unhideWhenUsed="1" w:qFormat="1"/>
    <w:lsdException w:name="Block Text" w:semiHidden="1" w:unhideWhenUsed="1"/>
    <w:lsdException w:name="Hyperlink" w:qFormat="1"/>
    <w:lsdException w:name="FollowedHyperlink" w:unhideWhenUsed="1" w:qFormat="1"/>
    <w:lsdException w:name="Strong" w:uiPriority="22" w:qFormat="1"/>
    <w:lsdException w:name="Emphasis" w:uiPriority="20" w:qFormat="1"/>
    <w:lsdException w:name="Document Map" w:uiPriority="0" w:unhideWhenUsed="1" w:qFormat="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next w:val="NoteHeading"/>
    <w:qFormat/>
    <w:pPr>
      <w:widowControl w:val="0"/>
      <w:spacing w:line="560" w:lineRule="exact"/>
      <w:jc w:val="both"/>
    </w:pPr>
    <w:rPr>
      <w:rFonts w:eastAsia="仿宋_GB2312"/>
      <w:kern w:val="2"/>
      <w:sz w:val="32"/>
    </w:rPr>
  </w:style>
  <w:style w:type="paragraph" w:styleId="Heading1">
    <w:name w:val="heading 1"/>
    <w:basedOn w:val="Normal"/>
    <w:next w:val="Normal"/>
    <w:link w:val="1Char"/>
    <w:uiPriority w:val="9"/>
    <w:qFormat/>
    <w:pPr>
      <w:tabs>
        <w:tab w:val="left" w:pos="360"/>
      </w:tabs>
      <w:spacing w:before="50" w:beforeLines="50" w:after="50" w:afterLines="50" w:line="240" w:lineRule="auto"/>
      <w:ind w:firstLine="601"/>
      <w:outlineLvl w:val="0"/>
    </w:pPr>
    <w:rPr>
      <w:rFonts w:eastAsia="黑体"/>
      <w:b/>
      <w:sz w:val="36"/>
    </w:rPr>
  </w:style>
  <w:style w:type="paragraph" w:styleId="Heading2">
    <w:name w:val="heading 2"/>
    <w:basedOn w:val="Normal"/>
    <w:next w:val="Normal"/>
    <w:link w:val="2Char0"/>
    <w:uiPriority w:val="9"/>
    <w:qFormat/>
    <w:pPr>
      <w:tabs>
        <w:tab w:val="left" w:pos="360"/>
      </w:tabs>
      <w:spacing w:before="50" w:beforeLines="50" w:after="50" w:afterLines="50" w:line="240" w:lineRule="auto"/>
      <w:ind w:firstLine="198"/>
      <w:outlineLvl w:val="1"/>
    </w:pPr>
    <w:rPr>
      <w:rFonts w:eastAsia="黑体"/>
    </w:rPr>
  </w:style>
  <w:style w:type="paragraph" w:styleId="Heading3">
    <w:name w:val="heading 3"/>
    <w:basedOn w:val="Normal"/>
    <w:next w:val="Normal"/>
    <w:link w:val="3Char0"/>
    <w:uiPriority w:val="9"/>
    <w:qFormat/>
    <w:pPr>
      <w:tabs>
        <w:tab w:val="left" w:pos="360"/>
      </w:tabs>
      <w:spacing w:line="240" w:lineRule="auto"/>
      <w:ind w:firstLine="198"/>
      <w:outlineLvl w:val="2"/>
    </w:pPr>
    <w:rPr>
      <w:rFonts w:eastAsia="楷体_GB2312"/>
    </w:rPr>
  </w:style>
  <w:style w:type="paragraph" w:styleId="Heading4">
    <w:name w:val="heading 4"/>
    <w:basedOn w:val="Normal"/>
    <w:next w:val="Normal"/>
    <w:link w:val="4Char"/>
    <w:uiPriority w:val="9"/>
    <w:qFormat/>
    <w:pPr>
      <w:numPr>
        <w:ilvl w:val="3"/>
        <w:numId w:val="1"/>
      </w:numPr>
      <w:outlineLvl w:val="3"/>
    </w:pPr>
    <w:rPr>
      <w:b/>
      <w:sz w:val="28"/>
    </w:rPr>
  </w:style>
  <w:style w:type="paragraph" w:styleId="Heading5">
    <w:name w:val="heading 5"/>
    <w:basedOn w:val="Normal"/>
    <w:next w:val="Normal"/>
    <w:link w:val="5Char"/>
    <w:uiPriority w:val="9"/>
    <w:qFormat/>
    <w:pPr>
      <w:keepNext/>
      <w:keepLines/>
      <w:ind w:firstLine="200" w:firstLineChars="200"/>
      <w:outlineLvl w:val="4"/>
    </w:pPr>
    <w:rPr>
      <w:rFonts w:eastAsia="仿宋"/>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teHeading">
    <w:name w:val="Note Heading"/>
    <w:basedOn w:val="Normal"/>
    <w:next w:val="Normal"/>
    <w:link w:val="Char"/>
    <w:uiPriority w:val="99"/>
    <w:unhideWhenUsed/>
    <w:qFormat/>
    <w:pPr>
      <w:jc w:val="center"/>
    </w:pPr>
  </w:style>
  <w:style w:type="paragraph" w:styleId="TOC7">
    <w:name w:val="toc 7"/>
    <w:basedOn w:val="Normal"/>
    <w:next w:val="Normal"/>
    <w:uiPriority w:val="39"/>
    <w:unhideWhenUsed/>
    <w:qFormat/>
    <w:pPr>
      <w:ind w:left="1260"/>
      <w:jc w:val="left"/>
    </w:pPr>
    <w:rPr>
      <w:rFonts w:ascii="Calibri" w:eastAsia="宋体" w:hAnsi="Calibri"/>
      <w:sz w:val="18"/>
      <w:szCs w:val="18"/>
    </w:rPr>
  </w:style>
  <w:style w:type="paragraph" w:styleId="NormalIndent">
    <w:name w:val="Normal Indent"/>
    <w:basedOn w:val="Normal"/>
    <w:next w:val="Normal"/>
    <w:qFormat/>
    <w:pPr>
      <w:spacing w:line="500" w:lineRule="exact"/>
      <w:ind w:firstLine="420"/>
    </w:pPr>
    <w:rPr>
      <w:rFonts w:ascii="仿宋_GB2312"/>
      <w:sz w:val="28"/>
    </w:rPr>
  </w:style>
  <w:style w:type="paragraph" w:styleId="Caption">
    <w:name w:val="caption"/>
    <w:basedOn w:val="Normal"/>
    <w:next w:val="Normal"/>
    <w:link w:val="Char0"/>
    <w:qFormat/>
    <w:pPr>
      <w:spacing w:line="360" w:lineRule="auto"/>
      <w:jc w:val="center"/>
    </w:pPr>
    <w:rPr>
      <w:rFonts w:ascii="Arial" w:eastAsia="黑体" w:hAnsi="Arial" w:hint="eastAsia"/>
      <w:sz w:val="24"/>
    </w:rPr>
  </w:style>
  <w:style w:type="paragraph" w:styleId="DocumentMap">
    <w:name w:val="Document Map"/>
    <w:basedOn w:val="Normal"/>
    <w:link w:val="Char1"/>
    <w:unhideWhenUsed/>
    <w:qFormat/>
    <w:rPr>
      <w:rFonts w:ascii="宋体" w:eastAsia="宋体"/>
      <w:sz w:val="18"/>
      <w:szCs w:val="18"/>
    </w:rPr>
  </w:style>
  <w:style w:type="paragraph" w:styleId="CommentText">
    <w:name w:val="annotation text"/>
    <w:basedOn w:val="Normal"/>
    <w:link w:val="Char8"/>
    <w:uiPriority w:val="99"/>
    <w:unhideWhenUsed/>
    <w:qFormat/>
    <w:pPr>
      <w:jc w:val="left"/>
    </w:pPr>
    <w:rPr>
      <w:rFonts w:eastAsia="宋体"/>
      <w:sz w:val="21"/>
      <w:szCs w:val="22"/>
    </w:rPr>
  </w:style>
  <w:style w:type="paragraph" w:styleId="BodyText">
    <w:name w:val="Body Text"/>
    <w:basedOn w:val="Normal"/>
    <w:link w:val="Char2"/>
    <w:uiPriority w:val="1"/>
    <w:qFormat/>
    <w:pPr>
      <w:autoSpaceDE w:val="0"/>
      <w:autoSpaceDN w:val="0"/>
      <w:jc w:val="left"/>
    </w:pPr>
    <w:rPr>
      <w:rFonts w:ascii="宋体" w:eastAsia="宋体" w:hAnsi="宋体" w:cs="宋体"/>
      <w:kern w:val="0"/>
      <w:sz w:val="30"/>
      <w:szCs w:val="30"/>
      <w:lang w:eastAsia="en-US"/>
    </w:rPr>
  </w:style>
  <w:style w:type="paragraph" w:styleId="BodyTextIndent">
    <w:name w:val="Body Text Indent"/>
    <w:basedOn w:val="Normal"/>
    <w:link w:val="Char3"/>
    <w:uiPriority w:val="99"/>
    <w:unhideWhenUsed/>
    <w:qFormat/>
    <w:pPr>
      <w:spacing w:after="120"/>
      <w:ind w:left="420" w:leftChars="200"/>
    </w:pPr>
  </w:style>
  <w:style w:type="paragraph" w:styleId="TOC5">
    <w:name w:val="toc 5"/>
    <w:basedOn w:val="Normal"/>
    <w:next w:val="Normal"/>
    <w:uiPriority w:val="39"/>
    <w:unhideWhenUsed/>
    <w:qFormat/>
    <w:pPr>
      <w:ind w:left="840"/>
      <w:jc w:val="left"/>
    </w:pPr>
    <w:rPr>
      <w:rFonts w:ascii="Calibri" w:eastAsia="宋体" w:hAnsi="Calibri"/>
      <w:sz w:val="18"/>
      <w:szCs w:val="18"/>
    </w:rPr>
  </w:style>
  <w:style w:type="paragraph" w:styleId="TOC3">
    <w:name w:val="toc 3"/>
    <w:basedOn w:val="Normal"/>
    <w:next w:val="Normal"/>
    <w:uiPriority w:val="39"/>
    <w:unhideWhenUsed/>
    <w:qFormat/>
    <w:pPr>
      <w:ind w:left="420"/>
      <w:jc w:val="left"/>
    </w:pPr>
    <w:rPr>
      <w:rFonts w:ascii="Calibri" w:eastAsia="宋体" w:hAnsi="Calibri"/>
      <w:i/>
      <w:iCs/>
      <w:sz w:val="20"/>
    </w:rPr>
  </w:style>
  <w:style w:type="paragraph" w:styleId="PlainText">
    <w:name w:val="Plain Text"/>
    <w:basedOn w:val="Normal"/>
    <w:link w:val="Char4"/>
    <w:uiPriority w:val="99"/>
    <w:unhideWhenUsed/>
    <w:qFormat/>
    <w:rPr>
      <w:rFonts w:ascii="宋体" w:hAnsi="Courier New"/>
    </w:rPr>
  </w:style>
  <w:style w:type="paragraph" w:styleId="TOC8">
    <w:name w:val="toc 8"/>
    <w:basedOn w:val="Normal"/>
    <w:next w:val="Normal"/>
    <w:uiPriority w:val="39"/>
    <w:unhideWhenUsed/>
    <w:qFormat/>
    <w:pPr>
      <w:ind w:left="1470"/>
      <w:jc w:val="left"/>
    </w:pPr>
    <w:rPr>
      <w:rFonts w:ascii="Calibri" w:eastAsia="宋体" w:hAnsi="Calibri"/>
      <w:sz w:val="18"/>
      <w:szCs w:val="18"/>
    </w:rPr>
  </w:style>
  <w:style w:type="paragraph" w:styleId="Date">
    <w:name w:val="Date"/>
    <w:basedOn w:val="Normal"/>
    <w:next w:val="Normal"/>
    <w:link w:val="Char5"/>
    <w:uiPriority w:val="99"/>
    <w:unhideWhenUsed/>
    <w:qFormat/>
    <w:pPr>
      <w:ind w:left="100" w:leftChars="2500"/>
    </w:pPr>
  </w:style>
  <w:style w:type="paragraph" w:styleId="BodyTextIndent2">
    <w:name w:val="Body Text Indent 2"/>
    <w:basedOn w:val="Normal"/>
    <w:link w:val="2Char"/>
    <w:uiPriority w:val="99"/>
    <w:unhideWhenUsed/>
    <w:qFormat/>
    <w:pPr>
      <w:spacing w:after="120" w:line="480" w:lineRule="auto"/>
      <w:ind w:left="420" w:leftChars="200"/>
    </w:pPr>
  </w:style>
  <w:style w:type="paragraph" w:styleId="EndnoteText">
    <w:name w:val="endnote text"/>
    <w:basedOn w:val="Normal"/>
    <w:link w:val="Char6"/>
    <w:uiPriority w:val="99"/>
    <w:unhideWhenUsed/>
    <w:qFormat/>
    <w:pPr>
      <w:snapToGrid w:val="0"/>
      <w:jc w:val="left"/>
    </w:pPr>
  </w:style>
  <w:style w:type="paragraph" w:styleId="BalloonText">
    <w:name w:val="Balloon Text"/>
    <w:basedOn w:val="Normal"/>
    <w:link w:val="Char9"/>
    <w:qFormat/>
    <w:rPr>
      <w:rFonts w:eastAsia="宋体"/>
      <w:kern w:val="0"/>
      <w:sz w:val="18"/>
      <w:szCs w:val="18"/>
    </w:rPr>
  </w:style>
  <w:style w:type="paragraph" w:styleId="Footer">
    <w:name w:val="footer"/>
    <w:basedOn w:val="Normal"/>
    <w:link w:val="Char10"/>
    <w:uiPriority w:val="99"/>
    <w:qFormat/>
    <w:pPr>
      <w:tabs>
        <w:tab w:val="center" w:pos="4153"/>
        <w:tab w:val="right" w:pos="8306"/>
      </w:tabs>
      <w:snapToGrid w:val="0"/>
      <w:jc w:val="left"/>
    </w:pPr>
    <w:rPr>
      <w:rFonts w:eastAsia="宋体"/>
      <w:sz w:val="18"/>
    </w:rPr>
  </w:style>
  <w:style w:type="paragraph" w:styleId="Header">
    <w:name w:val="header"/>
    <w:basedOn w:val="Normal"/>
    <w:link w:val="Char11"/>
    <w:uiPriority w:val="99"/>
    <w:qFormat/>
    <w:pPr>
      <w:pBdr>
        <w:top w:val="nil"/>
        <w:left w:val="nil"/>
        <w:bottom w:val="nil"/>
        <w:right w:val="nil"/>
      </w:pBdr>
      <w:tabs>
        <w:tab w:val="center" w:pos="4153"/>
        <w:tab w:val="right" w:pos="8306"/>
      </w:tabs>
      <w:snapToGrid w:val="0"/>
      <w:spacing w:line="240" w:lineRule="auto"/>
    </w:pPr>
    <w:rPr>
      <w:sz w:val="18"/>
    </w:rPr>
  </w:style>
  <w:style w:type="paragraph" w:styleId="TOC1">
    <w:name w:val="toc 1"/>
    <w:basedOn w:val="Normal"/>
    <w:next w:val="Normal"/>
    <w:uiPriority w:val="39"/>
    <w:qFormat/>
    <w:pPr>
      <w:spacing w:before="120" w:after="120"/>
      <w:jc w:val="left"/>
    </w:pPr>
    <w:rPr>
      <w:rFonts w:ascii="Calibri" w:eastAsia="宋体" w:hAnsi="Calibri" w:hint="eastAsia"/>
      <w:b/>
      <w:caps/>
      <w:sz w:val="28"/>
    </w:rPr>
  </w:style>
  <w:style w:type="paragraph" w:styleId="TOC4">
    <w:name w:val="toc 4"/>
    <w:basedOn w:val="Normal"/>
    <w:next w:val="Normal"/>
    <w:uiPriority w:val="39"/>
    <w:unhideWhenUsed/>
    <w:qFormat/>
    <w:pPr>
      <w:ind w:left="630"/>
      <w:jc w:val="left"/>
    </w:pPr>
    <w:rPr>
      <w:rFonts w:ascii="Calibri" w:eastAsia="宋体" w:hAnsi="Calibri"/>
      <w:sz w:val="18"/>
      <w:szCs w:val="18"/>
    </w:rPr>
  </w:style>
  <w:style w:type="paragraph" w:styleId="FootnoteText">
    <w:name w:val="footnote text"/>
    <w:basedOn w:val="Normal"/>
    <w:link w:val="Char7"/>
    <w:uiPriority w:val="99"/>
    <w:unhideWhenUsed/>
    <w:qFormat/>
    <w:pPr>
      <w:snapToGrid w:val="0"/>
      <w:jc w:val="left"/>
    </w:pPr>
    <w:rPr>
      <w:rFonts w:eastAsia="宋体"/>
      <w:sz w:val="18"/>
      <w:szCs w:val="18"/>
    </w:rPr>
  </w:style>
  <w:style w:type="paragraph" w:styleId="TOC6">
    <w:name w:val="toc 6"/>
    <w:basedOn w:val="Normal"/>
    <w:next w:val="Normal"/>
    <w:uiPriority w:val="39"/>
    <w:unhideWhenUsed/>
    <w:qFormat/>
    <w:pPr>
      <w:ind w:left="1050"/>
      <w:jc w:val="left"/>
    </w:pPr>
    <w:rPr>
      <w:rFonts w:ascii="Calibri" w:eastAsia="宋体" w:hAnsi="Calibri"/>
      <w:sz w:val="18"/>
      <w:szCs w:val="18"/>
    </w:rPr>
  </w:style>
  <w:style w:type="paragraph" w:styleId="BodyTextIndent3">
    <w:name w:val="Body Text Indent 3"/>
    <w:basedOn w:val="Normal"/>
    <w:link w:val="3Char"/>
    <w:uiPriority w:val="99"/>
    <w:unhideWhenUsed/>
    <w:qFormat/>
    <w:pPr>
      <w:spacing w:after="120"/>
      <w:ind w:left="420" w:leftChars="200"/>
    </w:pPr>
    <w:rPr>
      <w:sz w:val="16"/>
    </w:rPr>
  </w:style>
  <w:style w:type="paragraph" w:styleId="TOC2">
    <w:name w:val="toc 2"/>
    <w:basedOn w:val="Normal"/>
    <w:next w:val="Normal"/>
    <w:uiPriority w:val="39"/>
    <w:qFormat/>
    <w:pPr>
      <w:ind w:left="210"/>
      <w:jc w:val="left"/>
    </w:pPr>
    <w:rPr>
      <w:rFonts w:ascii="Calibri" w:hAnsi="Calibri" w:hint="eastAsia"/>
      <w:smallCaps/>
      <w:sz w:val="24"/>
    </w:rPr>
  </w:style>
  <w:style w:type="paragraph" w:styleId="TOC9">
    <w:name w:val="toc 9"/>
    <w:basedOn w:val="Normal"/>
    <w:next w:val="Normal"/>
    <w:uiPriority w:val="39"/>
    <w:unhideWhenUsed/>
    <w:qFormat/>
    <w:pPr>
      <w:ind w:left="1680"/>
      <w:jc w:val="left"/>
    </w:pPr>
    <w:rPr>
      <w:rFonts w:ascii="Calibri" w:eastAsia="宋体" w:hAnsi="Calibri"/>
      <w:sz w:val="18"/>
      <w:szCs w:val="18"/>
    </w:rPr>
  </w:style>
  <w:style w:type="paragraph" w:styleId="NormalWeb">
    <w:name w:val="Normal (Web)"/>
    <w:basedOn w:val="Normal"/>
    <w:unhideWhenUsed/>
    <w:qFormat/>
    <w:pPr>
      <w:widowControl/>
      <w:spacing w:before="100" w:beforeAutospacing="1" w:after="100" w:afterAutospacing="1"/>
      <w:jc w:val="left"/>
    </w:pPr>
    <w:rPr>
      <w:rFonts w:ascii="宋体" w:eastAsia="宋体" w:hAnsi="宋体" w:cs="宋体"/>
      <w:kern w:val="0"/>
      <w:sz w:val="24"/>
      <w:szCs w:val="24"/>
    </w:rPr>
  </w:style>
  <w:style w:type="paragraph" w:styleId="Title">
    <w:name w:val="Title"/>
    <w:basedOn w:val="Normal"/>
    <w:next w:val="Normal"/>
    <w:uiPriority w:val="10"/>
    <w:qFormat/>
    <w:pPr>
      <w:spacing w:before="100" w:after="100"/>
      <w:jc w:val="left"/>
      <w:outlineLvl w:val="2"/>
    </w:pPr>
    <w:rPr>
      <w:rFonts w:eastAsia="宋体"/>
      <w:b/>
      <w:bCs/>
      <w:sz w:val="28"/>
      <w:szCs w:val="32"/>
    </w:rPr>
  </w:style>
  <w:style w:type="paragraph" w:styleId="CommentSubject">
    <w:name w:val="annotation subject"/>
    <w:basedOn w:val="CommentText"/>
    <w:next w:val="CommentText"/>
    <w:link w:val="Char12"/>
    <w:uiPriority w:val="99"/>
    <w:unhideWhenUsed/>
    <w:qFormat/>
    <w:rPr>
      <w:b/>
      <w:bCs/>
    </w:rPr>
  </w:style>
  <w:style w:type="table" w:styleId="TableGrid">
    <w:name w:val="Table Grid"/>
    <w:basedOn w:val="TableNormal"/>
    <w:qFormat/>
    <w:rPr>
      <w:rFonts w:ascii="Calibri"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Pr>
      <w:b/>
      <w:bCs/>
    </w:rPr>
  </w:style>
  <w:style w:type="character" w:styleId="EndnoteReference">
    <w:name w:val="endnote reference"/>
    <w:uiPriority w:val="99"/>
    <w:unhideWhenUsed/>
    <w:qFormat/>
    <w:rPr>
      <w:vertAlign w:val="superscript"/>
    </w:rPr>
  </w:style>
  <w:style w:type="character" w:styleId="PageNumber">
    <w:name w:val="page number"/>
    <w:qFormat/>
  </w:style>
  <w:style w:type="character" w:styleId="FollowedHyperlink">
    <w:name w:val="FollowedHyperlink"/>
    <w:uiPriority w:val="99"/>
    <w:unhideWhenUsed/>
    <w:qFormat/>
    <w:rPr>
      <w:color w:val="954F72"/>
      <w:u w:val="single"/>
    </w:rPr>
  </w:style>
  <w:style w:type="character" w:styleId="Hyperlink">
    <w:name w:val="Hyperlink"/>
    <w:uiPriority w:val="99"/>
    <w:qFormat/>
    <w:rPr>
      <w:rFonts w:ascii="Times New Roman" w:hint="default"/>
      <w:color w:val="0563C1"/>
      <w:u w:val="single"/>
    </w:rPr>
  </w:style>
  <w:style w:type="character" w:styleId="CommentReference">
    <w:name w:val="annotation reference"/>
    <w:uiPriority w:val="99"/>
    <w:unhideWhenUsed/>
    <w:qFormat/>
    <w:rPr>
      <w:sz w:val="21"/>
      <w:szCs w:val="21"/>
    </w:rPr>
  </w:style>
  <w:style w:type="paragraph" w:customStyle="1" w:styleId="1">
    <w:name w:val="无间隔1"/>
    <w:link w:val="NoSpacingChar"/>
    <w:qFormat/>
    <w:pPr>
      <w:adjustRightInd w:val="0"/>
      <w:snapToGrid w:val="0"/>
    </w:pPr>
    <w:rPr>
      <w:sz w:val="21"/>
      <w:szCs w:val="22"/>
      <w:lang w:eastAsia="en-US"/>
    </w:rPr>
  </w:style>
  <w:style w:type="paragraph" w:customStyle="1" w:styleId="10">
    <w:name w:val="正文1"/>
    <w:basedOn w:val="Normal"/>
    <w:link w:val="Char15"/>
    <w:qFormat/>
    <w:pPr>
      <w:spacing w:afterLines="50" w:line="360" w:lineRule="auto"/>
      <w:ind w:firstLine="480" w:firstLineChars="200"/>
    </w:pPr>
    <w:rPr>
      <w:rFonts w:eastAsia="宋体"/>
      <w:bCs/>
      <w:kern w:val="0"/>
      <w:sz w:val="24"/>
      <w:szCs w:val="24"/>
    </w:rPr>
  </w:style>
  <w:style w:type="paragraph" w:customStyle="1" w:styleId="a">
    <w:name w:val="标准文字"/>
    <w:basedOn w:val="Normal"/>
    <w:link w:val="Char16"/>
    <w:qFormat/>
    <w:pPr>
      <w:spacing w:line="360" w:lineRule="auto"/>
      <w:ind w:firstLine="560" w:firstLineChars="200"/>
    </w:pPr>
    <w:rPr>
      <w:sz w:val="28"/>
    </w:rPr>
  </w:style>
  <w:style w:type="paragraph" w:customStyle="1" w:styleId="3">
    <w:name w:val="标题3"/>
    <w:basedOn w:val="Heading3"/>
    <w:next w:val="Normal"/>
    <w:link w:val="3Char1"/>
    <w:qFormat/>
    <w:pPr>
      <w:keepNext/>
      <w:keepLines/>
      <w:widowControl/>
      <w:tabs>
        <w:tab w:val="clear" w:pos="360"/>
      </w:tabs>
      <w:spacing w:beforeLines="100" w:afterLines="100"/>
      <w:ind w:firstLine="0"/>
      <w:jc w:val="left"/>
    </w:pPr>
    <w:rPr>
      <w:rFonts w:eastAsia="黑体"/>
      <w:bCs/>
      <w:sz w:val="24"/>
      <w:szCs w:val="28"/>
      <w:lang w:eastAsia="en-US"/>
    </w:rPr>
  </w:style>
  <w:style w:type="paragraph" w:customStyle="1" w:styleId="30">
    <w:name w:val="附件3级"/>
    <w:basedOn w:val="Normal"/>
    <w:qFormat/>
    <w:pPr>
      <w:spacing w:line="360" w:lineRule="auto"/>
      <w:outlineLvl w:val="2"/>
    </w:pPr>
    <w:rPr>
      <w:rFonts w:ascii="Arial" w:eastAsia="黑体" w:hAnsi="Arial"/>
      <w:sz w:val="30"/>
      <w:szCs w:val="22"/>
    </w:rPr>
  </w:style>
  <w:style w:type="paragraph" w:customStyle="1" w:styleId="11">
    <w:name w:val="附件1级"/>
    <w:basedOn w:val="Normal"/>
    <w:qFormat/>
    <w:pPr>
      <w:spacing w:line="360" w:lineRule="auto"/>
      <w:jc w:val="center"/>
      <w:outlineLvl w:val="0"/>
    </w:pPr>
    <w:rPr>
      <w:rFonts w:eastAsia="黑体"/>
      <w:sz w:val="30"/>
      <w:szCs w:val="22"/>
    </w:rPr>
  </w:style>
  <w:style w:type="paragraph" w:customStyle="1" w:styleId="4">
    <w:name w:val="附件4级"/>
    <w:basedOn w:val="Normal"/>
    <w:next w:val="a"/>
    <w:qFormat/>
    <w:pPr>
      <w:spacing w:line="360" w:lineRule="auto"/>
      <w:outlineLvl w:val="3"/>
    </w:pPr>
    <w:rPr>
      <w:rFonts w:ascii="Arial" w:eastAsia="黑体" w:hAnsi="Arial"/>
      <w:sz w:val="30"/>
      <w:szCs w:val="22"/>
    </w:rPr>
  </w:style>
  <w:style w:type="paragraph" w:customStyle="1" w:styleId="Style49">
    <w:name w:val="_Style 49"/>
    <w:basedOn w:val="Heading1"/>
    <w:next w:val="Normal"/>
    <w:uiPriority w:val="39"/>
    <w:qFormat/>
    <w:pPr>
      <w:keepNext/>
      <w:keepLines/>
      <w:widowControl/>
      <w:tabs>
        <w:tab w:val="clear" w:pos="360"/>
      </w:tabs>
      <w:spacing w:before="240" w:line="259" w:lineRule="auto"/>
      <w:ind w:firstLine="0"/>
      <w:jc w:val="left"/>
      <w:outlineLvl w:val="9"/>
    </w:pPr>
    <w:rPr>
      <w:rFonts w:ascii="Cambria" w:eastAsia="宋体" w:hAnsi="Cambria"/>
      <w:color w:val="365F91"/>
      <w:kern w:val="0"/>
      <w:sz w:val="32"/>
      <w:szCs w:val="32"/>
    </w:rPr>
  </w:style>
  <w:style w:type="paragraph" w:customStyle="1" w:styleId="a0">
    <w:name w:val="前言目录"/>
    <w:basedOn w:val="Normal"/>
    <w:qFormat/>
    <w:pPr>
      <w:spacing w:line="360" w:lineRule="auto"/>
      <w:jc w:val="center"/>
      <w:outlineLvl w:val="0"/>
    </w:pPr>
    <w:rPr>
      <w:rFonts w:eastAsia="黑体" w:hint="eastAsia"/>
      <w:sz w:val="30"/>
    </w:rPr>
  </w:style>
  <w:style w:type="paragraph" w:customStyle="1" w:styleId="12">
    <w:name w:val="普通(网站)1"/>
    <w:basedOn w:val="Normal"/>
    <w:qFormat/>
    <w:pPr>
      <w:widowControl/>
      <w:spacing w:before="100" w:beforeAutospacing="1" w:after="100" w:afterAutospacing="1"/>
      <w:jc w:val="left"/>
    </w:pPr>
    <w:rPr>
      <w:rFonts w:ascii="宋体" w:hAnsi="宋体" w:hint="eastAsia"/>
      <w:sz w:val="24"/>
    </w:rPr>
  </w:style>
  <w:style w:type="paragraph" w:customStyle="1" w:styleId="Style52">
    <w:name w:val="_Style 52"/>
    <w:basedOn w:val="Normal"/>
    <w:link w:val="Char17"/>
    <w:uiPriority w:val="99"/>
    <w:qFormat/>
    <w:pPr>
      <w:ind w:firstLine="420" w:firstLineChars="200"/>
    </w:pPr>
    <w:rPr>
      <w:rFonts w:eastAsia="宋体"/>
      <w:sz w:val="21"/>
      <w:szCs w:val="22"/>
    </w:rPr>
  </w:style>
  <w:style w:type="paragraph" w:customStyle="1" w:styleId="a1">
    <w:name w:val="总标题"/>
    <w:basedOn w:val="Normal"/>
    <w:qFormat/>
    <w:pPr>
      <w:spacing w:before="312" w:beforeLines="100" w:after="156" w:afterLines="50" w:line="360" w:lineRule="auto"/>
      <w:jc w:val="center"/>
      <w:outlineLvl w:val="0"/>
    </w:pPr>
    <w:rPr>
      <w:rFonts w:ascii="华文中宋" w:eastAsia="华文中宋" w:hAnsi="华文中宋" w:hint="eastAsia"/>
      <w:b/>
      <w:sz w:val="44"/>
    </w:rPr>
  </w:style>
  <w:style w:type="paragraph" w:customStyle="1" w:styleId="a2">
    <w:name w:val="正文小四"/>
    <w:qFormat/>
    <w:pPr>
      <w:spacing w:line="560" w:lineRule="atLeast"/>
      <w:ind w:firstLine="200" w:firstLineChars="200"/>
      <w:jc w:val="both"/>
    </w:pPr>
    <w:rPr>
      <w:rFonts w:eastAsia="仿宋_GB2312"/>
      <w:sz w:val="32"/>
    </w:rPr>
  </w:style>
  <w:style w:type="paragraph" w:customStyle="1" w:styleId="WPSOffice2">
    <w:name w:val="WPSOffice手动目录 2"/>
    <w:qFormat/>
    <w:pPr>
      <w:ind w:left="200" w:leftChars="200"/>
    </w:pPr>
  </w:style>
  <w:style w:type="paragraph" w:customStyle="1" w:styleId="5">
    <w:name w:val="附件5级"/>
    <w:basedOn w:val="Normal"/>
    <w:next w:val="a"/>
    <w:qFormat/>
    <w:pPr>
      <w:numPr>
        <w:ilvl w:val="4"/>
        <w:numId w:val="2"/>
      </w:numPr>
      <w:spacing w:line="360" w:lineRule="auto"/>
      <w:outlineLvl w:val="4"/>
    </w:pPr>
    <w:rPr>
      <w:rFonts w:eastAsia="楷体" w:hint="eastAsia"/>
      <w:b/>
      <w:sz w:val="28"/>
    </w:rPr>
  </w:style>
  <w:style w:type="paragraph" w:customStyle="1" w:styleId="a3">
    <w:name w:val="附图"/>
    <w:basedOn w:val="Normal"/>
    <w:qFormat/>
    <w:pPr>
      <w:numPr>
        <w:numId w:val="3"/>
      </w:numPr>
      <w:spacing w:beforeLines="50" w:afterLines="50" w:line="360" w:lineRule="auto"/>
      <w:outlineLvl w:val="0"/>
    </w:pPr>
    <w:rPr>
      <w:rFonts w:eastAsia="黑体"/>
      <w:sz w:val="30"/>
      <w:szCs w:val="30"/>
    </w:rPr>
  </w:style>
  <w:style w:type="paragraph" w:customStyle="1" w:styleId="2">
    <w:name w:val="附件2级"/>
    <w:basedOn w:val="Normal"/>
    <w:qFormat/>
    <w:pPr>
      <w:spacing w:line="360" w:lineRule="auto"/>
      <w:outlineLvl w:val="1"/>
    </w:pPr>
    <w:rPr>
      <w:rFonts w:eastAsia="黑体"/>
      <w:sz w:val="30"/>
      <w:szCs w:val="22"/>
    </w:rPr>
  </w:style>
  <w:style w:type="paragraph" w:customStyle="1" w:styleId="WPSOffice1">
    <w:name w:val="WPSOffice手动目录 1"/>
    <w:qFormat/>
  </w:style>
  <w:style w:type="paragraph" w:customStyle="1" w:styleId="Style60">
    <w:name w:val="_Style 60"/>
    <w:uiPriority w:val="99"/>
    <w:semiHidden/>
    <w:qFormat/>
    <w:rPr>
      <w:kern w:val="2"/>
      <w:sz w:val="21"/>
      <w:szCs w:val="22"/>
    </w:rPr>
  </w:style>
  <w:style w:type="paragraph" w:customStyle="1" w:styleId="a4">
    <w:name w:val="表头"/>
    <w:basedOn w:val="Normal"/>
    <w:qFormat/>
    <w:pPr>
      <w:tabs>
        <w:tab w:val="left" w:pos="720"/>
      </w:tabs>
      <w:jc w:val="center"/>
    </w:pPr>
    <w:rPr>
      <w:rFonts w:eastAsia="宋体"/>
      <w:bCs/>
      <w:kern w:val="0"/>
      <w:sz w:val="24"/>
      <w:szCs w:val="28"/>
      <w:lang w:val="zh-CN"/>
    </w:rPr>
  </w:style>
  <w:style w:type="paragraph" w:customStyle="1" w:styleId="a5">
    <w:name w:val="二级标题"/>
    <w:basedOn w:val="Normal"/>
    <w:link w:val="Char18"/>
    <w:qFormat/>
    <w:pPr>
      <w:adjustRightInd w:val="0"/>
      <w:snapToGrid w:val="0"/>
      <w:spacing w:before="120" w:after="120"/>
      <w:ind w:firstLine="640" w:firstLineChars="200"/>
      <w:outlineLvl w:val="1"/>
    </w:pPr>
    <w:rPr>
      <w:rFonts w:ascii="黑体" w:eastAsia="黑体" w:hAnsi="黑体"/>
    </w:rPr>
  </w:style>
  <w:style w:type="paragraph" w:customStyle="1" w:styleId="a6">
    <w:name w:val="一级标题"/>
    <w:basedOn w:val="Normal"/>
    <w:qFormat/>
    <w:pPr>
      <w:jc w:val="center"/>
      <w:outlineLvl w:val="0"/>
    </w:pPr>
    <w:rPr>
      <w:rFonts w:ascii="方正小标宋简体" w:eastAsia="方正小标宋简体" w:hAnsi="黑体"/>
      <w:sz w:val="36"/>
      <w:szCs w:val="36"/>
    </w:rPr>
  </w:style>
  <w:style w:type="paragraph" w:customStyle="1" w:styleId="-">
    <w:name w:val="正文-规划"/>
    <w:basedOn w:val="Normal"/>
    <w:link w:val="-Char"/>
    <w:qFormat/>
    <w:pPr>
      <w:snapToGrid w:val="0"/>
      <w:spacing w:line="580" w:lineRule="atLeast"/>
      <w:ind w:firstLine="640" w:firstLineChars="200"/>
    </w:pPr>
    <w:rPr>
      <w:szCs w:val="32"/>
    </w:rPr>
  </w:style>
  <w:style w:type="paragraph" w:customStyle="1" w:styleId="a7">
    <w:name w:val="表格"/>
    <w:basedOn w:val="Normal"/>
    <w:qFormat/>
    <w:pPr>
      <w:ind w:firstLine="200" w:firstLineChars="200"/>
      <w:jc w:val="center"/>
    </w:pPr>
    <w:rPr>
      <w:rFonts w:ascii="宋体" w:hAnsi="宋体"/>
      <w:sz w:val="28"/>
      <w:szCs w:val="21"/>
    </w:rPr>
  </w:style>
  <w:style w:type="paragraph" w:customStyle="1" w:styleId="TableParagraph">
    <w:name w:val="Table Paragraph"/>
    <w:basedOn w:val="Normal"/>
    <w:uiPriority w:val="1"/>
    <w:qFormat/>
    <w:pPr>
      <w:autoSpaceDE w:val="0"/>
      <w:autoSpaceDN w:val="0"/>
      <w:adjustRightInd w:val="0"/>
      <w:jc w:val="left"/>
    </w:pPr>
    <w:rPr>
      <w:rFonts w:eastAsia="宋体"/>
      <w:kern w:val="0"/>
      <w:sz w:val="24"/>
      <w:szCs w:val="24"/>
    </w:rPr>
  </w:style>
  <w:style w:type="paragraph" w:customStyle="1" w:styleId="Default">
    <w:name w:val="Default"/>
    <w:qFormat/>
    <w:pPr>
      <w:widowControl w:val="0"/>
      <w:autoSpaceDE w:val="0"/>
      <w:autoSpaceDN w:val="0"/>
      <w:adjustRightInd w:val="0"/>
    </w:pPr>
    <w:rPr>
      <w:rFonts w:ascii="仿宋_GB2312" w:eastAsia="仿宋_GB2312" w:hAnsi="Calibri" w:cs="仿宋_GB2312"/>
      <w:color w:val="000000"/>
      <w:sz w:val="24"/>
      <w:szCs w:val="24"/>
    </w:rPr>
  </w:style>
  <w:style w:type="paragraph" w:customStyle="1" w:styleId="a8">
    <w:name w:val="表格 首行加粗"/>
    <w:qFormat/>
    <w:pPr>
      <w:widowControl w:val="0"/>
      <w:adjustRightInd w:val="0"/>
      <w:snapToGrid w:val="0"/>
      <w:spacing w:line="240" w:lineRule="atLeast"/>
      <w:jc w:val="center"/>
    </w:pPr>
    <w:rPr>
      <w:b/>
      <w:kern w:val="2"/>
      <w:sz w:val="21"/>
      <w:szCs w:val="21"/>
    </w:rPr>
  </w:style>
  <w:style w:type="paragraph" w:customStyle="1" w:styleId="a9">
    <w:name w:val="表格 内部文字"/>
    <w:qFormat/>
    <w:pPr>
      <w:snapToGrid w:val="0"/>
      <w:jc w:val="center"/>
    </w:pPr>
    <w:rPr>
      <w:sz w:val="21"/>
      <w:szCs w:val="21"/>
    </w:rPr>
  </w:style>
  <w:style w:type="paragraph" w:customStyle="1" w:styleId="2018">
    <w:name w:val="2018年度计划正文标题"/>
    <w:basedOn w:val="Normal"/>
    <w:qFormat/>
    <w:pPr>
      <w:autoSpaceDE w:val="0"/>
      <w:autoSpaceDN w:val="0"/>
      <w:snapToGrid w:val="0"/>
      <w:spacing w:line="590" w:lineRule="atLeast"/>
      <w:ind w:firstLine="630"/>
    </w:pPr>
    <w:rPr>
      <w:rFonts w:eastAsia="方正仿宋_GBK"/>
      <w:snapToGrid w:val="0"/>
      <w:kern w:val="0"/>
      <w:szCs w:val="32"/>
    </w:rPr>
  </w:style>
  <w:style w:type="paragraph" w:customStyle="1" w:styleId="a10">
    <w:name w:val="段"/>
    <w:next w:val="Normal"/>
    <w:qFormat/>
    <w:pPr>
      <w:tabs>
        <w:tab w:val="center" w:pos="4201"/>
        <w:tab w:val="right" w:leader="dot" w:pos="9298"/>
      </w:tabs>
      <w:autoSpaceDE w:val="0"/>
      <w:autoSpaceDN w:val="0"/>
      <w:ind w:firstLine="420" w:firstLineChars="200"/>
      <w:jc w:val="both"/>
    </w:pPr>
    <w:rPr>
      <w:rFonts w:ascii="宋体"/>
      <w:kern w:val="2"/>
      <w:sz w:val="21"/>
      <w:szCs w:val="22"/>
    </w:rPr>
  </w:style>
  <w:style w:type="paragraph" w:customStyle="1" w:styleId="20">
    <w:name w:val="标题2"/>
    <w:basedOn w:val="Normal"/>
    <w:next w:val="Normal"/>
    <w:link w:val="2Char2"/>
    <w:qFormat/>
    <w:pPr>
      <w:autoSpaceDE w:val="0"/>
      <w:autoSpaceDN w:val="0"/>
      <w:snapToGrid w:val="0"/>
      <w:spacing w:line="590" w:lineRule="atLeast"/>
      <w:jc w:val="center"/>
    </w:pPr>
    <w:rPr>
      <w:rFonts w:eastAsia="方正楷体_GBK"/>
      <w:kern w:val="0"/>
    </w:rPr>
  </w:style>
  <w:style w:type="paragraph" w:customStyle="1" w:styleId="13">
    <w:name w:val="列出段落1"/>
    <w:basedOn w:val="Normal"/>
    <w:uiPriority w:val="99"/>
    <w:qFormat/>
    <w:pPr>
      <w:ind w:firstLine="420" w:firstLineChars="200"/>
    </w:pPr>
    <w:rPr>
      <w:rFonts w:ascii="Calibri" w:eastAsia="宋体" w:hAnsi="Calibri"/>
    </w:rPr>
  </w:style>
  <w:style w:type="character" w:customStyle="1" w:styleId="Char">
    <w:name w:val="注释标题 Char"/>
    <w:link w:val="NoteHeading"/>
    <w:uiPriority w:val="99"/>
    <w:qFormat/>
    <w:rPr>
      <w:sz w:val="24"/>
      <w:szCs w:val="22"/>
    </w:rPr>
  </w:style>
  <w:style w:type="character" w:customStyle="1" w:styleId="14">
    <w:name w:val="标题 1 字符"/>
    <w:uiPriority w:val="9"/>
    <w:qFormat/>
    <w:rPr>
      <w:rFonts w:ascii="Times New Roman" w:eastAsia="黑体" w:hAnsi="Times New Roman" w:hint="default"/>
      <w:b/>
      <w:kern w:val="2"/>
      <w:sz w:val="36"/>
    </w:rPr>
  </w:style>
  <w:style w:type="character" w:customStyle="1" w:styleId="21">
    <w:name w:val="标题 2 字符"/>
    <w:uiPriority w:val="9"/>
    <w:qFormat/>
    <w:rPr>
      <w:rFonts w:ascii="Times New Roman" w:eastAsia="黑体" w:hAnsi="Times New Roman" w:hint="default"/>
      <w:kern w:val="2"/>
      <w:sz w:val="32"/>
    </w:rPr>
  </w:style>
  <w:style w:type="character" w:customStyle="1" w:styleId="31">
    <w:name w:val="标题 3 字符"/>
    <w:uiPriority w:val="9"/>
    <w:qFormat/>
    <w:rPr>
      <w:rFonts w:ascii="Times New Roman" w:eastAsia="楷体_GB2312" w:hAnsi="Times New Roman" w:hint="default"/>
      <w:kern w:val="2"/>
      <w:sz w:val="32"/>
    </w:rPr>
  </w:style>
  <w:style w:type="character" w:customStyle="1" w:styleId="40">
    <w:name w:val="标题 4 字符"/>
    <w:uiPriority w:val="9"/>
    <w:qFormat/>
    <w:rPr>
      <w:rFonts w:eastAsia="仿宋_GB2312"/>
      <w:b/>
      <w:kern w:val="2"/>
      <w:sz w:val="28"/>
    </w:rPr>
  </w:style>
  <w:style w:type="character" w:customStyle="1" w:styleId="5Char">
    <w:name w:val="标题 5 Char"/>
    <w:link w:val="Heading5"/>
    <w:uiPriority w:val="9"/>
    <w:qFormat/>
    <w:rPr>
      <w:rFonts w:ascii="Times New Roman" w:eastAsia="仿宋" w:hint="default"/>
      <w:b/>
      <w:kern w:val="2"/>
      <w:sz w:val="28"/>
    </w:rPr>
  </w:style>
  <w:style w:type="character" w:customStyle="1" w:styleId="Char0">
    <w:name w:val="题注 Char"/>
    <w:link w:val="Caption"/>
    <w:qFormat/>
    <w:rPr>
      <w:rFonts w:ascii="Cambria" w:eastAsia="黑体" w:hAnsi="Cambria" w:cs="Cambria" w:hint="default"/>
    </w:rPr>
  </w:style>
  <w:style w:type="character" w:customStyle="1" w:styleId="Char1">
    <w:name w:val="文档结构图 Char1"/>
    <w:link w:val="DocumentMap"/>
    <w:qFormat/>
    <w:rPr>
      <w:rFonts w:ascii="宋体"/>
      <w:kern w:val="2"/>
      <w:sz w:val="18"/>
      <w:szCs w:val="18"/>
    </w:rPr>
  </w:style>
  <w:style w:type="character" w:customStyle="1" w:styleId="15">
    <w:name w:val="批注文字 字符1"/>
    <w:uiPriority w:val="99"/>
    <w:semiHidden/>
    <w:qFormat/>
    <w:rPr>
      <w:kern w:val="2"/>
      <w:sz w:val="21"/>
      <w:szCs w:val="22"/>
    </w:rPr>
  </w:style>
  <w:style w:type="character" w:customStyle="1" w:styleId="Char2">
    <w:name w:val="正文文本 Char"/>
    <w:link w:val="BodyText"/>
    <w:uiPriority w:val="1"/>
    <w:qFormat/>
    <w:rPr>
      <w:rFonts w:ascii="宋体" w:hAnsi="宋体" w:cs="宋体"/>
      <w:sz w:val="30"/>
      <w:szCs w:val="30"/>
      <w:lang w:eastAsia="en-US"/>
    </w:rPr>
  </w:style>
  <w:style w:type="character" w:customStyle="1" w:styleId="Char3">
    <w:name w:val="正文文本缩进 Char"/>
    <w:link w:val="BodyTextIndent"/>
    <w:qFormat/>
    <w:rPr>
      <w:rFonts w:ascii="Calibri" w:eastAsia="仿宋_GB2312" w:hAnsi="Calibri" w:cs="Calibri" w:hint="default"/>
      <w:kern w:val="2"/>
      <w:sz w:val="24"/>
      <w:szCs w:val="22"/>
    </w:rPr>
  </w:style>
  <w:style w:type="character" w:customStyle="1" w:styleId="Char4">
    <w:name w:val="纯文本 Char"/>
    <w:link w:val="PlainText"/>
    <w:qFormat/>
    <w:rPr>
      <w:rFonts w:ascii="宋体" w:eastAsia="宋体" w:hAnsi="Courier New" w:cs="宋体" w:hint="eastAsia"/>
      <w:szCs w:val="21"/>
    </w:rPr>
  </w:style>
  <w:style w:type="character" w:customStyle="1" w:styleId="Char5">
    <w:name w:val="日期 Char"/>
    <w:link w:val="Date"/>
    <w:qFormat/>
    <w:rPr>
      <w:rFonts w:ascii="Calibri" w:hAnsi="Calibri" w:cs="Calibri" w:hint="default"/>
      <w:kern w:val="2"/>
      <w:sz w:val="21"/>
      <w:szCs w:val="22"/>
    </w:rPr>
  </w:style>
  <w:style w:type="character" w:customStyle="1" w:styleId="2Char">
    <w:name w:val="正文文本缩进 2 Char"/>
    <w:link w:val="BodyTextIndent2"/>
    <w:qFormat/>
    <w:rPr>
      <w:szCs w:val="24"/>
    </w:rPr>
  </w:style>
  <w:style w:type="character" w:customStyle="1" w:styleId="Char6">
    <w:name w:val="尾注文本 Char"/>
    <w:link w:val="EndnoteText"/>
    <w:uiPriority w:val="99"/>
    <w:semiHidden/>
    <w:qFormat/>
    <w:rPr>
      <w:rFonts w:eastAsia="仿宋_GB2312"/>
      <w:kern w:val="2"/>
      <w:sz w:val="32"/>
    </w:rPr>
  </w:style>
  <w:style w:type="character" w:customStyle="1" w:styleId="16">
    <w:name w:val="批注框文本 字符1"/>
    <w:qFormat/>
    <w:rPr>
      <w:sz w:val="18"/>
      <w:szCs w:val="18"/>
    </w:rPr>
  </w:style>
  <w:style w:type="character" w:customStyle="1" w:styleId="17">
    <w:name w:val="页脚 字符1"/>
    <w:uiPriority w:val="99"/>
    <w:qFormat/>
    <w:rPr>
      <w:rFonts w:ascii="Times New Roman" w:hint="default"/>
      <w:kern w:val="2"/>
      <w:sz w:val="18"/>
    </w:rPr>
  </w:style>
  <w:style w:type="character" w:customStyle="1" w:styleId="a11">
    <w:name w:val="页眉 字符"/>
    <w:uiPriority w:val="99"/>
    <w:qFormat/>
    <w:rPr>
      <w:rFonts w:eastAsia="仿宋_GB2312"/>
      <w:kern w:val="2"/>
      <w:sz w:val="18"/>
    </w:rPr>
  </w:style>
  <w:style w:type="character" w:customStyle="1" w:styleId="Char7">
    <w:name w:val="脚注文本 Char"/>
    <w:link w:val="FootnoteText"/>
    <w:uiPriority w:val="99"/>
    <w:semiHidden/>
    <w:qFormat/>
    <w:rPr>
      <w:kern w:val="2"/>
      <w:sz w:val="18"/>
      <w:szCs w:val="18"/>
    </w:rPr>
  </w:style>
  <w:style w:type="character" w:customStyle="1" w:styleId="3Char">
    <w:name w:val="正文文本缩进 3 Char"/>
    <w:link w:val="BodyTextIndent3"/>
    <w:qFormat/>
    <w:rPr>
      <w:sz w:val="16"/>
      <w:szCs w:val="16"/>
    </w:rPr>
  </w:style>
  <w:style w:type="character" w:customStyle="1" w:styleId="18">
    <w:name w:val="批注主题 字符1"/>
    <w:uiPriority w:val="99"/>
    <w:semiHidden/>
    <w:qFormat/>
    <w:rPr>
      <w:b/>
      <w:bCs/>
      <w:kern w:val="2"/>
      <w:sz w:val="21"/>
      <w:szCs w:val="22"/>
    </w:rPr>
  </w:style>
  <w:style w:type="character" w:customStyle="1" w:styleId="1Char">
    <w:name w:val="标题 1 Char"/>
    <w:link w:val="Heading1"/>
    <w:qFormat/>
    <w:rPr>
      <w:rFonts w:ascii="Calibri" w:hAnsi="Calibri" w:cs="Calibri" w:hint="default"/>
      <w:b/>
      <w:bCs/>
      <w:kern w:val="44"/>
      <w:sz w:val="44"/>
      <w:szCs w:val="44"/>
    </w:rPr>
  </w:style>
  <w:style w:type="character" w:customStyle="1" w:styleId="2Char0">
    <w:name w:val="标题 2 Char"/>
    <w:link w:val="Heading2"/>
    <w:qFormat/>
    <w:rPr>
      <w:rFonts w:ascii="黑体" w:eastAsia="黑体" w:hAnsi="宋体" w:cs="黑体" w:hint="eastAsia"/>
      <w:bCs/>
      <w:kern w:val="2"/>
      <w:sz w:val="32"/>
      <w:szCs w:val="32"/>
    </w:rPr>
  </w:style>
  <w:style w:type="character" w:customStyle="1" w:styleId="3Char0">
    <w:name w:val="标题 3 Char"/>
    <w:link w:val="Heading3"/>
    <w:qFormat/>
    <w:rPr>
      <w:rFonts w:ascii="Calibri" w:hAnsi="Calibri" w:cs="Calibri" w:hint="default"/>
      <w:b/>
      <w:bCs/>
      <w:kern w:val="2"/>
      <w:sz w:val="32"/>
      <w:szCs w:val="32"/>
    </w:rPr>
  </w:style>
  <w:style w:type="character" w:customStyle="1" w:styleId="4Char">
    <w:name w:val="标题 4 Char"/>
    <w:link w:val="Heading4"/>
    <w:qFormat/>
    <w:rPr>
      <w:rFonts w:ascii="Calibri Light" w:eastAsia="宋体" w:hAnsi="Calibri Light" w:cs="Times New Roman"/>
      <w:b/>
      <w:bCs/>
      <w:kern w:val="2"/>
      <w:sz w:val="28"/>
      <w:szCs w:val="28"/>
    </w:rPr>
  </w:style>
  <w:style w:type="character" w:customStyle="1" w:styleId="Char8">
    <w:name w:val="批注文字 Char"/>
    <w:link w:val="CommentText"/>
    <w:qFormat/>
    <w:rPr>
      <w:rFonts w:ascii="Calibri" w:hAnsi="Calibri" w:cs="Calibri" w:hint="default"/>
      <w:kern w:val="2"/>
      <w:sz w:val="21"/>
      <w:szCs w:val="22"/>
    </w:rPr>
  </w:style>
  <w:style w:type="character" w:customStyle="1" w:styleId="Char9">
    <w:name w:val="批注框文本 Char"/>
    <w:link w:val="BalloonText"/>
    <w:qFormat/>
    <w:rPr>
      <w:rFonts w:ascii="Calibri" w:hAnsi="Calibri" w:cs="Calibri" w:hint="default"/>
      <w:kern w:val="2"/>
      <w:sz w:val="18"/>
      <w:szCs w:val="18"/>
    </w:rPr>
  </w:style>
  <w:style w:type="character" w:customStyle="1" w:styleId="Char10">
    <w:name w:val="页脚 Char"/>
    <w:link w:val="Footer"/>
    <w:qFormat/>
    <w:rPr>
      <w:rFonts w:ascii="Calibri" w:eastAsia="宋体" w:hAnsi="Calibri" w:cs="Times New Roman" w:hint="default"/>
      <w:kern w:val="2"/>
      <w:sz w:val="18"/>
      <w:szCs w:val="18"/>
    </w:rPr>
  </w:style>
  <w:style w:type="character" w:customStyle="1" w:styleId="Char11">
    <w:name w:val="页眉 Char"/>
    <w:link w:val="Header"/>
    <w:qFormat/>
    <w:rPr>
      <w:rFonts w:ascii="Calibri" w:eastAsia="宋体" w:hAnsi="Calibri" w:cs="Times New Roman" w:hint="default"/>
      <w:kern w:val="2"/>
      <w:sz w:val="18"/>
      <w:szCs w:val="18"/>
    </w:rPr>
  </w:style>
  <w:style w:type="character" w:customStyle="1" w:styleId="Char12">
    <w:name w:val="批注主题 Char"/>
    <w:link w:val="CommentSubject"/>
    <w:qFormat/>
    <w:rPr>
      <w:rFonts w:ascii="Calibri" w:hAnsi="Calibri" w:cs="Calibri" w:hint="default"/>
      <w:b/>
      <w:bCs/>
      <w:kern w:val="2"/>
      <w:sz w:val="21"/>
      <w:szCs w:val="22"/>
    </w:rPr>
  </w:style>
  <w:style w:type="character" w:customStyle="1" w:styleId="Char13">
    <w:name w:val="文档结构图 Char"/>
    <w:qFormat/>
    <w:rPr>
      <w:rFonts w:ascii="宋体"/>
      <w:kern w:val="2"/>
      <w:sz w:val="18"/>
      <w:szCs w:val="18"/>
    </w:rPr>
  </w:style>
  <w:style w:type="character" w:customStyle="1" w:styleId="Char14">
    <w:name w:val="批注框文本 Char1"/>
    <w:uiPriority w:val="99"/>
    <w:semiHidden/>
    <w:qFormat/>
    <w:rPr>
      <w:kern w:val="2"/>
      <w:sz w:val="18"/>
      <w:szCs w:val="18"/>
    </w:rPr>
  </w:style>
  <w:style w:type="character" w:customStyle="1" w:styleId="a12">
    <w:name w:val="批注框文本 字符"/>
    <w:uiPriority w:val="99"/>
    <w:semiHidden/>
    <w:qFormat/>
    <w:rPr>
      <w:rFonts w:eastAsia="仿宋_GB2312"/>
      <w:kern w:val="2"/>
      <w:sz w:val="18"/>
      <w:szCs w:val="18"/>
    </w:rPr>
  </w:style>
  <w:style w:type="character" w:customStyle="1" w:styleId="a13">
    <w:name w:val="批注文字 字符"/>
    <w:uiPriority w:val="99"/>
    <w:semiHidden/>
    <w:qFormat/>
    <w:rPr>
      <w:rFonts w:eastAsia="仿宋_GB2312"/>
      <w:kern w:val="2"/>
      <w:sz w:val="32"/>
    </w:rPr>
  </w:style>
  <w:style w:type="character" w:customStyle="1" w:styleId="a14">
    <w:name w:val="脚注文本 字符"/>
    <w:uiPriority w:val="99"/>
    <w:semiHidden/>
    <w:qFormat/>
    <w:rPr>
      <w:rFonts w:eastAsia="仿宋_GB2312"/>
      <w:kern w:val="2"/>
      <w:sz w:val="18"/>
      <w:szCs w:val="18"/>
    </w:rPr>
  </w:style>
  <w:style w:type="character" w:customStyle="1" w:styleId="NoSpacingChar">
    <w:name w:val="No Spacing Char"/>
    <w:link w:val="1"/>
    <w:qFormat/>
    <w:locked/>
    <w:rPr>
      <w:sz w:val="21"/>
      <w:szCs w:val="22"/>
      <w:lang w:val="en-US" w:eastAsia="en-US" w:bidi="ar-SA"/>
    </w:rPr>
  </w:style>
  <w:style w:type="character" w:customStyle="1" w:styleId="Char15">
    <w:name w:val="正文 Char"/>
    <w:link w:val="10"/>
    <w:qFormat/>
    <w:locked/>
    <w:rPr>
      <w:bCs/>
      <w:sz w:val="24"/>
      <w:szCs w:val="24"/>
    </w:rPr>
  </w:style>
  <w:style w:type="character" w:customStyle="1" w:styleId="Char16">
    <w:name w:val="标准文字 Char"/>
    <w:link w:val="a"/>
    <w:qFormat/>
    <w:rPr>
      <w:rFonts w:eastAsia="仿宋_GB2312" w:hint="default"/>
      <w:kern w:val="2"/>
      <w:sz w:val="28"/>
    </w:rPr>
  </w:style>
  <w:style w:type="character" w:customStyle="1" w:styleId="3Char1">
    <w:name w:val="标题3 Char"/>
    <w:link w:val="3"/>
    <w:qFormat/>
    <w:locked/>
    <w:rPr>
      <w:rFonts w:ascii="Times New Roman" w:eastAsia="黑体" w:hint="default"/>
      <w:b/>
      <w:bCs/>
      <w:kern w:val="2"/>
      <w:sz w:val="24"/>
      <w:szCs w:val="28"/>
      <w:lang w:eastAsia="en-US"/>
    </w:rPr>
  </w:style>
  <w:style w:type="character" w:customStyle="1" w:styleId="a15">
    <w:name w:val="文档结构图 字符"/>
    <w:uiPriority w:val="99"/>
    <w:semiHidden/>
    <w:qFormat/>
    <w:rPr>
      <w:rFonts w:ascii="Microsoft YaHei UI" w:eastAsia="Microsoft YaHei UI"/>
      <w:kern w:val="2"/>
      <w:sz w:val="18"/>
      <w:szCs w:val="18"/>
    </w:rPr>
  </w:style>
  <w:style w:type="character" w:customStyle="1" w:styleId="a16">
    <w:name w:val="批注主题 字符"/>
    <w:uiPriority w:val="99"/>
    <w:semiHidden/>
    <w:qFormat/>
    <w:rPr>
      <w:rFonts w:eastAsia="仿宋_GB2312"/>
      <w:b/>
      <w:bCs/>
      <w:kern w:val="2"/>
      <w:sz w:val="32"/>
    </w:rPr>
  </w:style>
  <w:style w:type="character" w:customStyle="1" w:styleId="a17">
    <w:name w:val="页脚 字符"/>
    <w:uiPriority w:val="99"/>
    <w:qFormat/>
  </w:style>
  <w:style w:type="character" w:customStyle="1" w:styleId="Char17">
    <w:name w:val="列出段落 Char"/>
    <w:link w:val="Style52"/>
    <w:uiPriority w:val="99"/>
    <w:qFormat/>
    <w:rPr>
      <w:kern w:val="2"/>
      <w:sz w:val="21"/>
      <w:szCs w:val="22"/>
    </w:rPr>
  </w:style>
  <w:style w:type="character" w:customStyle="1" w:styleId="Char18">
    <w:name w:val="二级标题 Char"/>
    <w:link w:val="a5"/>
    <w:qFormat/>
    <w:rPr>
      <w:rFonts w:ascii="黑体" w:eastAsia="黑体" w:hAnsi="黑体"/>
      <w:kern w:val="2"/>
      <w:sz w:val="32"/>
    </w:rPr>
  </w:style>
  <w:style w:type="character" w:customStyle="1" w:styleId="-Char">
    <w:name w:val="正文-规划 Char"/>
    <w:link w:val="-"/>
    <w:qFormat/>
    <w:rPr>
      <w:rFonts w:eastAsia="仿宋_GB2312"/>
      <w:kern w:val="2"/>
      <w:sz w:val="32"/>
      <w:szCs w:val="32"/>
    </w:rPr>
  </w:style>
  <w:style w:type="character" w:customStyle="1" w:styleId="font61">
    <w:name w:val="font61"/>
    <w:qFormat/>
    <w:rPr>
      <w:rFonts w:ascii="Times New Roman" w:hAnsi="Times New Roman" w:cs="Times New Roman" w:hint="default"/>
      <w:color w:val="000000"/>
      <w:sz w:val="21"/>
      <w:szCs w:val="21"/>
      <w:u w:val="none"/>
      <w:vertAlign w:val="subscript"/>
    </w:rPr>
  </w:style>
  <w:style w:type="character" w:customStyle="1" w:styleId="font71">
    <w:name w:val="font71"/>
    <w:qFormat/>
    <w:rPr>
      <w:rFonts w:ascii="华文楷体" w:eastAsia="华文楷体" w:hAnsi="华文楷体" w:cs="华文楷体"/>
      <w:b/>
      <w:color w:val="000000"/>
      <w:sz w:val="21"/>
      <w:szCs w:val="21"/>
      <w:u w:val="none"/>
    </w:rPr>
  </w:style>
  <w:style w:type="character" w:customStyle="1" w:styleId="-Char0">
    <w:name w:val="三级标题-规划 Char"/>
    <w:qFormat/>
    <w:rPr>
      <w:rFonts w:ascii="楷体_GB2312" w:eastAsia="楷体_GB2312" w:cs="楷体_GB2312" w:hint="eastAsia"/>
      <w:b/>
      <w:kern w:val="2"/>
      <w:sz w:val="32"/>
      <w:szCs w:val="32"/>
    </w:rPr>
  </w:style>
  <w:style w:type="character" w:customStyle="1" w:styleId="-Char1">
    <w:name w:val="一级标题-规划 Char"/>
    <w:qFormat/>
    <w:rPr>
      <w:rFonts w:ascii="黑体" w:eastAsia="黑体" w:hAnsi="宋体" w:cs="黑体" w:hint="eastAsia"/>
      <w:kern w:val="2"/>
      <w:sz w:val="32"/>
      <w:szCs w:val="32"/>
    </w:rPr>
  </w:style>
  <w:style w:type="character" w:customStyle="1" w:styleId="-Char2">
    <w:name w:val="二级标题-规划 Char"/>
    <w:qFormat/>
    <w:rPr>
      <w:rFonts w:ascii="宋体" w:eastAsia="宋体" w:hAnsi="宋体" w:cs="宋体" w:hint="eastAsia"/>
      <w:b/>
      <w:kern w:val="2"/>
      <w:sz w:val="32"/>
      <w:szCs w:val="32"/>
    </w:rPr>
  </w:style>
  <w:style w:type="character" w:customStyle="1" w:styleId="-Char3">
    <w:name w:val="四级标题-规划 Char"/>
    <w:qFormat/>
    <w:rPr>
      <w:rFonts w:ascii="仿宋_GB2312" w:eastAsia="仿宋_GB2312" w:cs="仿宋_GB2312" w:hint="eastAsia"/>
      <w:kern w:val="2"/>
      <w:sz w:val="32"/>
      <w:szCs w:val="32"/>
    </w:rPr>
  </w:style>
  <w:style w:type="character" w:customStyle="1" w:styleId="Char19">
    <w:name w:val="表头 Char"/>
    <w:qFormat/>
    <w:rPr>
      <w:rFonts w:ascii="仿宋_GB2312" w:eastAsia="仿宋_GB2312" w:cs="仿宋_GB2312" w:hint="eastAsia"/>
      <w:b/>
      <w:kern w:val="2"/>
      <w:sz w:val="30"/>
      <w:szCs w:val="30"/>
    </w:rPr>
  </w:style>
  <w:style w:type="character" w:customStyle="1" w:styleId="ListParagraphChar2">
    <w:name w:val="List Paragraph Char2"/>
    <w:qFormat/>
    <w:rPr>
      <w:rFonts w:ascii="仿宋_GB2312" w:eastAsia="仿宋_GB2312" w:cs="Times New Roman" w:hint="eastAsia"/>
      <w:kern w:val="2"/>
      <w:sz w:val="21"/>
      <w:szCs w:val="22"/>
    </w:rPr>
  </w:style>
  <w:style w:type="character" w:customStyle="1" w:styleId="2Char1">
    <w:name w:val="正文缩进2格 Char"/>
    <w:qFormat/>
    <w:rPr>
      <w:rFonts w:ascii="仿宋_GB2312" w:eastAsia="仿宋_GB2312" w:hAnsi="宋体" w:cs="仿宋_GB2312" w:hint="eastAsia"/>
      <w:kern w:val="2"/>
      <w:sz w:val="31"/>
      <w:szCs w:val="28"/>
    </w:rPr>
  </w:style>
  <w:style w:type="character" w:customStyle="1" w:styleId="apple-style-span">
    <w:name w:val="apple-style-span"/>
    <w:qFormat/>
  </w:style>
  <w:style w:type="character" w:customStyle="1" w:styleId="style211">
    <w:name w:val="style211"/>
    <w:qFormat/>
    <w:rPr>
      <w:sz w:val="20"/>
      <w:szCs w:val="20"/>
    </w:rPr>
  </w:style>
  <w:style w:type="character" w:customStyle="1" w:styleId="Char20">
    <w:name w:val="无间隔 Char"/>
    <w:qFormat/>
    <w:rPr>
      <w:rFonts w:ascii="黑体" w:eastAsia="黑体" w:hAnsi="宋体" w:cs="黑体" w:hint="eastAsia"/>
      <w:kern w:val="2"/>
      <w:sz w:val="24"/>
      <w:szCs w:val="22"/>
    </w:rPr>
  </w:style>
  <w:style w:type="character" w:customStyle="1" w:styleId="font21">
    <w:name w:val="font21"/>
    <w:qFormat/>
    <w:rPr>
      <w:rFonts w:ascii="宋体" w:eastAsia="宋体" w:hAnsi="宋体" w:cs="宋体" w:hint="eastAsia"/>
      <w:color w:val="000000"/>
      <w:sz w:val="20"/>
      <w:szCs w:val="20"/>
      <w:u w:val="none"/>
    </w:rPr>
  </w:style>
  <w:style w:type="character" w:customStyle="1" w:styleId="2Char2">
    <w:name w:val="标题2 Char"/>
    <w:link w:val="20"/>
    <w:qFormat/>
    <w:rPr>
      <w:rFonts w:eastAsia="方正楷体_GBK"/>
      <w:kern w:val="0"/>
      <w:sz w:val="32"/>
      <w:szCs w:val="20"/>
    </w:rPr>
  </w:style>
  <w:style w:type="table" w:customStyle="1" w:styleId="a18">
    <w:name w:val="标准表格"/>
    <w:basedOn w:val="TableNormal"/>
    <w:uiPriority w:val="99"/>
    <w:qFormat/>
    <w:pPr>
      <w:jc w:val="center"/>
    </w:pPr>
    <w:rPr>
      <w:sz w:val="21"/>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PrEx>
      <w:jc w:val="center"/>
    </w:tblPrEx>
    <w:trPr>
      <w:jc w:val="center"/>
    </w:trPr>
    <w:tcPr>
      <w:vAlign w:val="center"/>
    </w:tcPr>
    <w:tblStylePr w:type="firstRow">
      <w:pPr>
        <w:jc w:val="center"/>
      </w:pPr>
      <w:rPr>
        <w:rFonts w:ascii="楷体_GB2312" w:hAnsi="楷体_GB2312"/>
        <w:sz w:val="21"/>
      </w:rPr>
    </w:tblStylePr>
    <w:tblStylePr w:type="lastRow">
      <w:rPr>
        <w:b/>
      </w:rPr>
    </w:tblStylePr>
  </w:style>
  <w:style w:type="paragraph" w:customStyle="1" w:styleId="a19">
    <w:name w:val="段落"/>
    <w:basedOn w:val="NormalWeb"/>
    <w:qFormat/>
    <w:pPr>
      <w:shd w:val="clear" w:color="auto" w:fill="FFFFFF"/>
      <w:ind w:firstLine="560" w:firstLineChars="200"/>
      <w:jc w:val="both"/>
    </w:pPr>
    <w:rPr>
      <w:rFonts w:ascii="方正仿宋_GBK" w:eastAsia="方正仿宋_GBK" w:hAnsi="方正仿宋_GBK" w:cs="方正仿宋_GBK"/>
      <w:kern w:val="2"/>
      <w:sz w:val="28"/>
      <w:szCs w:val="28"/>
    </w:rPr>
  </w:style>
  <w:style w:type="paragraph" w:styleId="ListParagraph">
    <w:name w:val="List Paragraph"/>
    <w:basedOn w:val="Normal"/>
    <w:uiPriority w:val="99"/>
    <w:qFormat/>
    <w:rsid w:val="00F351DC"/>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4.xml" /><Relationship Id="rId11" Type="http://schemas.openxmlformats.org/officeDocument/2006/relationships/header" Target="header5.xml" /><Relationship Id="rId12" Type="http://schemas.openxmlformats.org/officeDocument/2006/relationships/footer" Target="footer2.xml" /><Relationship Id="rId13" Type="http://schemas.openxmlformats.org/officeDocument/2006/relationships/header" Target="header6.xml" /><Relationship Id="rId14" Type="http://schemas.openxmlformats.org/officeDocument/2006/relationships/header" Target="header7.xml" /><Relationship Id="rId15" Type="http://schemas.openxmlformats.org/officeDocument/2006/relationships/header" Target="header8.xml" /><Relationship Id="rId16" Type="http://schemas.openxmlformats.org/officeDocument/2006/relationships/footer" Target="footer3.xml" /><Relationship Id="rId17" Type="http://schemas.openxmlformats.org/officeDocument/2006/relationships/header" Target="header9.xml" /><Relationship Id="rId18" Type="http://schemas.openxmlformats.org/officeDocument/2006/relationships/header" Target="header10.xml" /><Relationship Id="rId19" Type="http://schemas.openxmlformats.org/officeDocument/2006/relationships/header" Target="header11.xml" /><Relationship Id="rId2" Type="http://schemas.openxmlformats.org/officeDocument/2006/relationships/webSettings" Target="webSettings.xml" /><Relationship Id="rId20" Type="http://schemas.openxmlformats.org/officeDocument/2006/relationships/footer" Target="footer4.xml" /><Relationship Id="rId21" Type="http://schemas.openxmlformats.org/officeDocument/2006/relationships/header" Target="header12.xml" /><Relationship Id="rId22" Type="http://schemas.openxmlformats.org/officeDocument/2006/relationships/chart" Target="charts/chart1.xml" /><Relationship Id="rId23" Type="http://schemas.openxmlformats.org/officeDocument/2006/relationships/chart" Target="charts/chart2.xml" /><Relationship Id="rId24" Type="http://schemas.openxmlformats.org/officeDocument/2006/relationships/image" Target="media/image2.png" /><Relationship Id="rId25" Type="http://schemas.openxmlformats.org/officeDocument/2006/relationships/image" Target="media/image3.png" /><Relationship Id="rId26" Type="http://schemas.openxmlformats.org/officeDocument/2006/relationships/image" Target="media/image4.png" /><Relationship Id="rId27" Type="http://schemas.openxmlformats.org/officeDocument/2006/relationships/chart" Target="charts/chart3.xml" /><Relationship Id="rId28" Type="http://schemas.openxmlformats.org/officeDocument/2006/relationships/image" Target="media/image5.png" /><Relationship Id="rId29" Type="http://schemas.openxmlformats.org/officeDocument/2006/relationships/image" Target="media/image6.png" /><Relationship Id="rId3" Type="http://schemas.openxmlformats.org/officeDocument/2006/relationships/fontTable" Target="fontTable.xml" /><Relationship Id="rId30" Type="http://schemas.openxmlformats.org/officeDocument/2006/relationships/image" Target="media/image7.png" /><Relationship Id="rId31" Type="http://schemas.openxmlformats.org/officeDocument/2006/relationships/image" Target="media/image8.png" /><Relationship Id="rId32" Type="http://schemas.openxmlformats.org/officeDocument/2006/relationships/image" Target="media/image9.png" /><Relationship Id="rId33" Type="http://schemas.openxmlformats.org/officeDocument/2006/relationships/chart" Target="charts/chart4.xml" /><Relationship Id="rId34" Type="http://schemas.openxmlformats.org/officeDocument/2006/relationships/header" Target="header13.xml" /><Relationship Id="rId35" Type="http://schemas.openxmlformats.org/officeDocument/2006/relationships/header" Target="header14.xml" /><Relationship Id="rId36" Type="http://schemas.openxmlformats.org/officeDocument/2006/relationships/footer" Target="footer5.xml" /><Relationship Id="rId37" Type="http://schemas.openxmlformats.org/officeDocument/2006/relationships/header" Target="header15.xml" /><Relationship Id="rId38" Type="http://schemas.openxmlformats.org/officeDocument/2006/relationships/header" Target="header16.xml" /><Relationship Id="rId39" Type="http://schemas.openxmlformats.org/officeDocument/2006/relationships/header" Target="header17.xml" /><Relationship Id="rId4" Type="http://schemas.openxmlformats.org/officeDocument/2006/relationships/customXml" Target="../customXml/item1.xml" /><Relationship Id="rId40" Type="http://schemas.openxmlformats.org/officeDocument/2006/relationships/footer" Target="footer6.xml" /><Relationship Id="rId41" Type="http://schemas.openxmlformats.org/officeDocument/2006/relationships/header" Target="header18.xml" /><Relationship Id="rId42" Type="http://schemas.openxmlformats.org/officeDocument/2006/relationships/header" Target="header19.xml" /><Relationship Id="rId43" Type="http://schemas.openxmlformats.org/officeDocument/2006/relationships/header" Target="header20.xml" /><Relationship Id="rId44" Type="http://schemas.openxmlformats.org/officeDocument/2006/relationships/header" Target="header21.xml" /><Relationship Id="rId45" Type="http://schemas.openxmlformats.org/officeDocument/2006/relationships/header" Target="header22.xml" /><Relationship Id="rId46" Type="http://schemas.openxmlformats.org/officeDocument/2006/relationships/header" Target="header23.xml" /><Relationship Id="rId47" Type="http://schemas.openxmlformats.org/officeDocument/2006/relationships/header" Target="header24.xml" /><Relationship Id="rId48" Type="http://schemas.openxmlformats.org/officeDocument/2006/relationships/header" Target="header25.xml" /><Relationship Id="rId49" Type="http://schemas.openxmlformats.org/officeDocument/2006/relationships/header" Target="header26.xml" /><Relationship Id="rId5" Type="http://schemas.openxmlformats.org/officeDocument/2006/relationships/image" Target="media/image1.jpeg" /><Relationship Id="rId50" Type="http://schemas.openxmlformats.org/officeDocument/2006/relationships/header" Target="header27.xml" /><Relationship Id="rId51" Type="http://schemas.openxmlformats.org/officeDocument/2006/relationships/header" Target="header28.xml" /><Relationship Id="rId52" Type="http://schemas.openxmlformats.org/officeDocument/2006/relationships/header" Target="header29.xml" /><Relationship Id="rId53" Type="http://schemas.openxmlformats.org/officeDocument/2006/relationships/footer" Target="footer7.xml" /><Relationship Id="rId54" Type="http://schemas.openxmlformats.org/officeDocument/2006/relationships/header" Target="header30.xml" /><Relationship Id="rId55" Type="http://schemas.openxmlformats.org/officeDocument/2006/relationships/header" Target="header31.xml" /><Relationship Id="rId56" Type="http://schemas.openxmlformats.org/officeDocument/2006/relationships/header" Target="header32.xml" /><Relationship Id="rId57" Type="http://schemas.openxmlformats.org/officeDocument/2006/relationships/header" Target="header33.xml" /><Relationship Id="rId58" Type="http://schemas.openxmlformats.org/officeDocument/2006/relationships/header" Target="header34.xml" /><Relationship Id="rId59" Type="http://schemas.openxmlformats.org/officeDocument/2006/relationships/header" Target="header35.xml" /><Relationship Id="rId6" Type="http://schemas.openxmlformats.org/officeDocument/2006/relationships/header" Target="header1.xml" /><Relationship Id="rId60" Type="http://schemas.openxmlformats.org/officeDocument/2006/relationships/header" Target="header36.xml" /><Relationship Id="rId61" Type="http://schemas.openxmlformats.org/officeDocument/2006/relationships/header" Target="header37.xml" /><Relationship Id="rId62" Type="http://schemas.openxmlformats.org/officeDocument/2006/relationships/header" Target="header38.xml" /><Relationship Id="rId63" Type="http://schemas.openxmlformats.org/officeDocument/2006/relationships/footer" Target="footer8.xml" /><Relationship Id="rId64" Type="http://schemas.openxmlformats.org/officeDocument/2006/relationships/header" Target="header39.xml" /><Relationship Id="rId65" Type="http://schemas.openxmlformats.org/officeDocument/2006/relationships/header" Target="header40.xml" /><Relationship Id="rId66" Type="http://schemas.openxmlformats.org/officeDocument/2006/relationships/header" Target="header41.xml" /><Relationship Id="rId67" Type="http://schemas.openxmlformats.org/officeDocument/2006/relationships/header" Target="header42.xml" /><Relationship Id="rId68" Type="http://schemas.openxmlformats.org/officeDocument/2006/relationships/theme" Target="theme/theme1.xml" /><Relationship Id="rId69" Type="http://schemas.openxmlformats.org/officeDocument/2006/relationships/numbering" Target="numbering.xml" /><Relationship Id="rId7" Type="http://schemas.openxmlformats.org/officeDocument/2006/relationships/header" Target="header2.xml" /><Relationship Id="rId70" Type="http://schemas.openxmlformats.org/officeDocument/2006/relationships/styles" Target="styles.xml" /><Relationship Id="rId8" Type="http://schemas.openxmlformats.org/officeDocument/2006/relationships/footer" Target="footer1.xml" /><Relationship Id="rId9" Type="http://schemas.openxmlformats.org/officeDocument/2006/relationships/header" Target="header3.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10" Type="http://schemas.openxmlformats.org/officeDocument/2006/relationships/font" Target="fonts/font10.odttf" /><Relationship Id="rId11" Type="http://schemas.openxmlformats.org/officeDocument/2006/relationships/font" Target="fonts/font11.odttf" /><Relationship Id="rId12" Type="http://schemas.openxmlformats.org/officeDocument/2006/relationships/font" Target="fonts/font12.odttf" /><Relationship Id="rId13" Type="http://schemas.openxmlformats.org/officeDocument/2006/relationships/font" Target="fonts/font13.odttf" /><Relationship Id="rId14" Type="http://schemas.openxmlformats.org/officeDocument/2006/relationships/font" Target="fonts/font14.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_rels/settings.xml.rels>&#65279;<?xml version="1.0" encoding="utf-8" standalone="yes"?><Relationships xmlns="http://schemas.openxmlformats.org/package/2006/relationships"><Relationship Id="rId1" Type="http://schemas.openxmlformats.org/officeDocument/2006/relationships/attachedTemplate" Target="file:///C:\Users\mac\Library\Containers\com.kingsoft.wpsoffice.mac\Data\&#29615;&#20445;&#37096;&#26032;&#30340;&#27169;&#29256;&#26684;&#24335;%20-%20&#21103;&#26412;.wpt" TargetMode="External" /></Relationships>
</file>

<file path=word/charts/_rels/chart1.xml.rels>&#65279;<?xml version="1.0" encoding="utf-8" standalone="yes"?><Relationships xmlns="http://schemas.openxmlformats.org/package/2006/relationships"><Relationship Id="rId1" Type="http://schemas.openxmlformats.org/officeDocument/2006/relationships/oleObject" Target="file:///C:\Users\lq\Desktop\&#22826;&#20179;&#36164;&#26009;\&#21313;&#22235;&#20116;&#35268;&#21010;&#36164;&#26009;\&#12304;2&#12305;&#22826;&#20179;&#24066;\&#12304;3&#12305;&#25253;&#21578;\&#22826;&#20179;&#24066;&#29615;&#22659;&#36136;&#37327;&#32479;&#35745;&#34920;.xlsx" TargetMode="External" /><Relationship Id="rId2" Type="http://schemas.microsoft.com/office/2011/relationships/chartColorStyle" Target="chart/colors1.xml" /><Relationship Id="rId3" Type="http://schemas.microsoft.com/office/2011/relationships/chartStyle" Target="chart/style1.xml" /></Relationships>
</file>

<file path=word/charts/_rels/chart2.xml.rels>&#65279;<?xml version="1.0" encoding="utf-8" standalone="yes"?><Relationships xmlns="http://schemas.openxmlformats.org/package/2006/relationships"><Relationship Id="rId1" Type="http://schemas.openxmlformats.org/officeDocument/2006/relationships/package" Target="../embeddings/Microsoft_Excel_Worksheet1.xlsx" /><Relationship Id="rId2" Type="http://schemas.openxmlformats.org/officeDocument/2006/relationships/themeOverride" Target="../theme/themeOverride1.xml" /></Relationships>
</file>

<file path=word/charts/_rels/chart3.xml.rels>&#65279;<?xml version="1.0" encoding="utf-8" standalone="yes"?><Relationships xmlns="http://schemas.openxmlformats.org/package/2006/relationships"><Relationship Id="rId1" Type="http://schemas.openxmlformats.org/officeDocument/2006/relationships/oleObject" Target="file:///C:\Users\lq\Desktop\&#22826;&#20179;&#36164;&#26009;\&#21313;&#22235;&#20116;&#35268;&#21010;&#36164;&#26009;\&#12304;2&#12305;&#22826;&#20179;&#24066;\&#12304;3&#12305;&#25253;&#21578;\&#22826;&#20179;&#24066;&#29615;&#22659;&#36136;&#37327;&#32479;&#35745;&#34920;.xlsx" TargetMode="External" /><Relationship Id="rId2" Type="http://schemas.microsoft.com/office/2011/relationships/chartColorStyle" Target="chart/colors2.xml" /><Relationship Id="rId3" Type="http://schemas.microsoft.com/office/2011/relationships/chartStyle" Target="chart/style2.xml" /></Relationships>
</file>

<file path=word/charts/_rels/chart4.xml.rels>&#65279;<?xml version="1.0" encoding="utf-8" standalone="yes"?><Relationships xmlns="http://schemas.openxmlformats.org/package/2006/relationships"><Relationship Id="rId1" Type="http://schemas.openxmlformats.org/officeDocument/2006/relationships/oleObject" Target="file:///C:\Users\lq\Desktop\&#22826;&#20179;&#36164;&#26009;\&#21313;&#22235;&#20116;&#35268;&#21010;&#36164;&#26009;\&#12304;2&#12305;&#22826;&#20179;&#24066;\&#12304;3&#12305;&#25253;&#21578;\&#22826;&#20179;&#24066;&#29615;&#22659;&#36136;&#37327;&#32479;&#35745;&#34920;.xlsx" TargetMode="External" /><Relationship Id="rId2" Type="http://schemas.microsoft.com/office/2011/relationships/chartColorStyle" Target="chart/colors3.xml" /><Relationship Id="rId3" Type="http://schemas.microsoft.com/office/2011/relationships/chartStyle" Target="chart/style3.xml" /></Relationships>
</file>

<file path=word/charts/chart/colors1.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2.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3.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style1.xml><?xml version="1.0" encoding="utf-8"?>
<cs:chartStyle xmlns:cs="http://schemas.microsoft.com/office/drawing/2012/chartStyle" xmlns:a="http://schemas.openxmlformats.org/drawingml/2006/main" id="227">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10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spPr>
      <a:solidFill>
        <a:srgbClr val="FFFFFF"/>
      </a:solidFill>
    </cs:spPr>
  </cs:dataPoint>
  <cs:dataPoint3D>
    <cs:lnRef idx="0"/>
    <cs:fillRef idx="1">
      <cs:styleClr val="auto"/>
    </cs:fillRef>
    <cs:effectRef idx="0"/>
    <cs:fontRef idx="minor">
      <a:srgbClr val="000000"/>
    </cs:fontRef>
    <cs:spPr>
      <a:solidFill>
        <a:srgbClr val="FFFFFF"/>
      </a:solidFill>
    </cs:spPr>
  </cs:dataPoint3D>
  <cs:dataPointLine>
    <cs:lnRef idx="0">
      <cs:styleClr val="auto"/>
    </cs:lnRef>
    <cs:fillRef idx="1"/>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solidFill>
        <a:srgbClr val="FFFFFF"/>
      </a:solidFill>
      <a:ln w="9525">
        <a:solidFill>
          <a:srgbClr val="FFFFFF"/>
        </a:solidFill>
      </a:ln>
    </cs:spPr>
  </cs:dataPointMarker>
  <cs:dataPointMarkerLayout symbol="circle" size="5"/>
  <cs:dataPointWireframe>
    <cs:lnRef idx="0">
      <cs:styleClr val="auto"/>
    </cs:lnRef>
    <cs:fillRef idx="1"/>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595959">
          <a:lumMod val="65000"/>
          <a:lumOff val="35000"/>
        </a:srgbClr>
      </a:solidFill>
      <a:ln w="9525">
        <a:solidFill>
          <a:srgbClr val="595959">
            <a:lumMod val="65000"/>
            <a:lumOff val="35000"/>
          </a:srgbClr>
        </a:solidFill>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404040">
            <a:lumMod val="75000"/>
            <a:lumOff val="25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a:solidFill>
          <a:srgbClr val="D9D9D9">
            <a:lumMod val="15000"/>
            <a:lumOff val="85000"/>
          </a:srgbClr>
        </a:solidFill>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charts/chart/style2.xml><?xml version="1.0" encoding="utf-8"?>
<cs:chartStyle xmlns:cs="http://schemas.microsoft.com/office/drawing/2012/chartStyle" xmlns:a="http://schemas.openxmlformats.org/drawingml/2006/main" id="227">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10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spPr>
      <a:solidFill>
        <a:srgbClr val="FFFFFF"/>
      </a:solidFill>
    </cs:spPr>
  </cs:dataPoint>
  <cs:dataPoint3D>
    <cs:lnRef idx="0"/>
    <cs:fillRef idx="1">
      <cs:styleClr val="auto"/>
    </cs:fillRef>
    <cs:effectRef idx="0"/>
    <cs:fontRef idx="minor">
      <a:srgbClr val="000000"/>
    </cs:fontRef>
    <cs:spPr>
      <a:solidFill>
        <a:srgbClr val="FFFFFF"/>
      </a:solidFill>
    </cs:spPr>
  </cs:dataPoint3D>
  <cs:dataPointLine>
    <cs:lnRef idx="0">
      <cs:styleClr val="auto"/>
    </cs:lnRef>
    <cs:fillRef idx="1"/>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solidFill>
        <a:srgbClr val="FFFFFF"/>
      </a:solidFill>
      <a:ln w="9525">
        <a:solidFill>
          <a:srgbClr val="FFFFFF"/>
        </a:solidFill>
      </a:ln>
    </cs:spPr>
  </cs:dataPointMarker>
  <cs:dataPointMarkerLayout symbol="circle" size="5"/>
  <cs:dataPointWireframe>
    <cs:lnRef idx="0">
      <cs:styleClr val="auto"/>
    </cs:lnRef>
    <cs:fillRef idx="1"/>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595959">
          <a:lumMod val="65000"/>
          <a:lumOff val="35000"/>
        </a:srgbClr>
      </a:solidFill>
      <a:ln w="9525">
        <a:solidFill>
          <a:srgbClr val="595959">
            <a:lumMod val="65000"/>
            <a:lumOff val="35000"/>
          </a:srgbClr>
        </a:solidFill>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404040">
            <a:lumMod val="75000"/>
            <a:lumOff val="25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a:solidFill>
          <a:srgbClr val="D9D9D9">
            <a:lumMod val="15000"/>
            <a:lumOff val="85000"/>
          </a:srgbClr>
        </a:solidFill>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charts/chart/style3.xml><?xml version="1.0" encoding="utf-8"?>
<cs:chartStyle xmlns:cs="http://schemas.microsoft.com/office/drawing/2012/chartStyle" xmlns:a="http://schemas.openxmlformats.org/drawingml/2006/main" id="227">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10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spPr>
      <a:solidFill>
        <a:srgbClr val="FFFFFF"/>
      </a:solidFill>
    </cs:spPr>
  </cs:dataPoint>
  <cs:dataPoint3D>
    <cs:lnRef idx="0"/>
    <cs:fillRef idx="1">
      <cs:styleClr val="auto"/>
    </cs:fillRef>
    <cs:effectRef idx="0"/>
    <cs:fontRef idx="minor">
      <a:srgbClr val="000000"/>
    </cs:fontRef>
    <cs:spPr>
      <a:solidFill>
        <a:srgbClr val="FFFFFF"/>
      </a:solidFill>
    </cs:spPr>
  </cs:dataPoint3D>
  <cs:dataPointLine>
    <cs:lnRef idx="0">
      <cs:styleClr val="auto"/>
    </cs:lnRef>
    <cs:fillRef idx="1"/>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solidFill>
        <a:srgbClr val="FFFFFF"/>
      </a:solidFill>
      <a:ln w="9525">
        <a:solidFill>
          <a:srgbClr val="FFFFFF"/>
        </a:solidFill>
      </a:ln>
    </cs:spPr>
  </cs:dataPointMarker>
  <cs:dataPointMarkerLayout symbol="circle" size="5"/>
  <cs:dataPointWireframe>
    <cs:lnRef idx="0">
      <cs:styleClr val="auto"/>
    </cs:lnRef>
    <cs:fillRef idx="1"/>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595959">
          <a:lumMod val="65000"/>
          <a:lumOff val="35000"/>
        </a:srgbClr>
      </a:solidFill>
      <a:ln w="9525">
        <a:solidFill>
          <a:srgbClr val="595959">
            <a:lumMod val="65000"/>
            <a:lumOff val="35000"/>
          </a:srgbClr>
        </a:solidFill>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404040">
            <a:lumMod val="75000"/>
            <a:lumOff val="25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a:solidFill>
          <a:srgbClr val="D9D9D9">
            <a:lumMod val="15000"/>
            <a:lumOff val="85000"/>
          </a:srgbClr>
        </a:solidFill>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charts/chart1.xml><?xml version="1.0" encoding="utf-8"?>
<c:chartSpace xmlns:c="http://schemas.openxmlformats.org/drawingml/2006/chart" xmlns:a="http://schemas.openxmlformats.org/drawingml/2006/main" xmlns:r="http://schemas.openxmlformats.org/officeDocument/2006/relationships">
  <c:lang val="zh-CN"/>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200" b="1" i="0" u="none" strike="noStrike" kern="1200" spc="0" baseline="0">
                <a:solidFill>
                  <a:srgbClr val="595959">
                    <a:lumMod val="65000"/>
                    <a:lumOff val="35000"/>
                  </a:srgbClr>
                </a:solidFill>
                <a:latin typeface="Times New Roman" panose="02020603050405020304" charset="0"/>
                <a:ea typeface="+mn-ea"/>
                <a:cs typeface="Times New Roman" panose="02020603050405020304" charset="0"/>
              </a:defRPr>
            </a:pPr>
            <a:r>
              <a:rPr lang="zh-CN" sz="1200" b="1"/>
              <a:t>太仓市常住人口及城市化率变化情况</a:t>
            </a:r>
          </a:p>
        </c:rich>
      </c:tx>
      <c:layout>
        <c:manualLayout>
          <c:xMode val="edge"/>
          <c:yMode val="edge"/>
          <c:x val="0.219444444444444"/>
          <c:y val="0.0462962962962963"/>
        </c:manualLayout>
      </c:layout>
      <c:spPr>
        <a:noFill/>
        <a:ln>
          <a:noFill/>
        </a:ln>
      </c:spPr>
      <c:txPr>
        <a:bodyPr rot="0" spcFirstLastPara="1" vertOverflow="ellipsis" vert="horz" wrap="square" anchor="ctr" anchorCtr="1"/>
        <a:lstStyle/>
        <a:p>
          <a:pPr>
            <a:defRPr lang="zh-CN" sz="1200" b="1" i="0" u="none" strike="noStrike" kern="1200" spc="0" baseline="0">
              <a:solidFill>
                <a:srgbClr val="595959">
                  <a:lumMod val="65000"/>
                  <a:lumOff val="35000"/>
                </a:srgbClr>
              </a:solidFill>
              <a:latin typeface="Times New Roman" panose="02020603050405020304" charset="0"/>
              <a:ea typeface="+mn-ea"/>
              <a:cs typeface="Times New Roman" panose="02020603050405020304" charset="0"/>
            </a:defRPr>
          </a:pPr>
          <a:endParaRPr lang="zh-CN"/>
        </a:p>
      </c:txPr>
    </c:title>
    <c:plotArea>
      <c:layout>
        <c:manualLayout>
          <c:layoutTarget val="inner"/>
          <c:xMode val="edge"/>
          <c:yMode val="edge"/>
          <c:x val="0.152516185476815"/>
          <c:y val="0.164838145231846"/>
          <c:w val="0.711634295713036"/>
          <c:h val="0.632953484981044"/>
        </c:manualLayout>
      </c:layout>
      <c:barChart>
        <c:barDir val="col"/>
        <c:grouping val="clustered"/>
        <c:varyColors val="0"/>
        <c:ser>
          <c:idx val="0"/>
          <c:order val="0"/>
          <c:tx>
            <c:strRef>
              <c:f>[太仓市环境质量统计表.xlsx]社会经济!$E$2</c:f>
              <c:strCache>
                <c:ptCount val="1"/>
                <c:pt idx="0">
                  <c:v>常住人口</c:v>
                </c:pt>
              </c:strCache>
            </c:strRef>
          </c:tx>
          <c:spPr>
            <a:solidFill>
              <a:srgbClr val="4F81BD"/>
            </a:solidFill>
            <a:ln>
              <a:noFill/>
            </a:ln>
          </c:spPr>
          <c:cat>
            <c:numRef>
              <c:f>[太仓市环境质量统计表.xlsx]社会经济!$A$4:$A$8</c:f>
              <c:numCache>
                <c:formatCode>General</c:formatCode>
                <c:ptCount val="5"/>
                <c:pt idx="0">
                  <c:v>2016</c:v>
                </c:pt>
                <c:pt idx="1">
                  <c:v>2017</c:v>
                </c:pt>
                <c:pt idx="2">
                  <c:v>2018</c:v>
                </c:pt>
                <c:pt idx="3">
                  <c:v>2019</c:v>
                </c:pt>
                <c:pt idx="4">
                  <c:v>2020</c:v>
                </c:pt>
              </c:numCache>
            </c:numRef>
          </c:cat>
          <c:val>
            <c:numRef>
              <c:f>[太仓市环境质量统计表.xlsx]社会经济!$E$4:$E$8</c:f>
              <c:numCache>
                <c:formatCode>General</c:formatCode>
                <c:ptCount val="5"/>
                <c:pt idx="0">
                  <c:v>71.2</c:v>
                </c:pt>
                <c:pt idx="1">
                  <c:v>71.58</c:v>
                </c:pt>
                <c:pt idx="2">
                  <c:v>71.92</c:v>
                </c:pt>
                <c:pt idx="3">
                  <c:v>72.12</c:v>
                </c:pt>
                <c:pt idx="4">
                  <c:v>83.11</c:v>
                </c:pt>
              </c:numCache>
            </c:numRef>
          </c:val>
        </c:ser>
        <c:dLbls>
          <c:showLegendKey val="0"/>
          <c:showVal val="0"/>
          <c:showCatName val="0"/>
          <c:showSerName val="0"/>
          <c:showPercent val="0"/>
          <c:showBubbleSize val="0"/>
        </c:dLbls>
        <c:gapWidth val="150"/>
        <c:axId val="597421960"/>
        <c:axId val="597421176"/>
      </c:barChart>
      <c:lineChart>
        <c:grouping val="standard"/>
        <c:varyColors val="0"/>
        <c:ser>
          <c:idx val="1"/>
          <c:order val="1"/>
          <c:tx>
            <c:strRef>
              <c:f>[太仓市环境质量统计表.xlsx]社会经济!$F$2</c:f>
              <c:strCache>
                <c:ptCount val="1"/>
                <c:pt idx="0">
                  <c:v>城镇化率</c:v>
                </c:pt>
              </c:strCache>
            </c:strRef>
          </c:tx>
          <c:spPr>
            <a:ln w="28575" cap="rnd">
              <a:solidFill>
                <a:srgbClr val="C0504D"/>
              </a:solidFill>
              <a:round/>
            </a:ln>
          </c:spPr>
          <c:marker>
            <c:symbol val="none"/>
          </c:marker>
          <c:cat>
            <c:numRef>
              <c:f>[太仓市环境质量统计表.xlsx]社会经济!$A$4:$A$8</c:f>
              <c:numCache>
                <c:formatCode>General</c:formatCode>
                <c:ptCount val="5"/>
                <c:pt idx="0">
                  <c:v>2016</c:v>
                </c:pt>
                <c:pt idx="1">
                  <c:v>2017</c:v>
                </c:pt>
                <c:pt idx="2">
                  <c:v>2018</c:v>
                </c:pt>
                <c:pt idx="3">
                  <c:v>2019</c:v>
                </c:pt>
                <c:pt idx="4">
                  <c:v>2020</c:v>
                </c:pt>
              </c:numCache>
            </c:numRef>
          </c:cat>
          <c:val>
            <c:numRef>
              <c:f>[太仓市环境质量统计表.xlsx]社会经济!$F$4:$F$8</c:f>
              <c:numCache>
                <c:formatCode>General</c:formatCode>
                <c:ptCount val="5"/>
                <c:pt idx="0">
                  <c:v>66.9</c:v>
                </c:pt>
                <c:pt idx="1">
                  <c:v>67.19</c:v>
                </c:pt>
                <c:pt idx="2">
                  <c:v>67.4</c:v>
                </c:pt>
                <c:pt idx="3">
                  <c:v>68.48</c:v>
                </c:pt>
                <c:pt idx="4">
                  <c:v>70.61</c:v>
                </c:pt>
              </c:numCache>
            </c:numRef>
          </c:val>
        </c:ser>
        <c:dLbls>
          <c:showLegendKey val="0"/>
          <c:showVal val="0"/>
          <c:showCatName val="0"/>
          <c:showSerName val="0"/>
          <c:showPercent val="0"/>
          <c:showBubbleSize val="0"/>
        </c:dLbls>
        <c:marker val="1"/>
        <c:smooth val="0"/>
        <c:axId val="597421568"/>
        <c:axId val="604501328"/>
      </c:lineChart>
      <c:catAx>
        <c:axId val="597421960"/>
        <c:scaling>
          <c:orientation val="minMax"/>
        </c:scaling>
        <c:axPos val="b"/>
        <c:numFmt formatCode="General" sourceLinked="1"/>
        <c:majorTickMark val="none"/>
        <c:minorTickMark val="none"/>
        <c:tickLblPos val="nextTo"/>
        <c:spPr>
          <a:noFill/>
          <a:ln w="9525">
            <a:solidFill>
              <a:srgbClr val="D9D9D9">
                <a:lumMod val="15000"/>
                <a:lumOff val="85000"/>
              </a:srgbClr>
            </a:solidFill>
            <a:round/>
          </a:ln>
        </c:spPr>
        <c:txPr>
          <a:bodyPr rot="0" spcFirstLastPara="1" vertOverflow="ellipsis" vert="horz" wrap="square" anchor="ctr" anchorCtr="1"/>
          <a:lstStyle/>
          <a:p>
            <a:pPr>
              <a:defRPr lang="zh-CN" sz="900" b="0" i="0" u="none" strike="noStrike" kern="1200" baseline="0">
                <a:solidFill>
                  <a:srgbClr val="595959">
                    <a:lumMod val="65000"/>
                    <a:lumOff val="35000"/>
                  </a:srgbClr>
                </a:solidFill>
                <a:latin typeface="Times New Roman" panose="02020603050405020304" charset="0"/>
                <a:ea typeface="+mn-ea"/>
                <a:cs typeface="Times New Roman" panose="02020603050405020304" charset="0"/>
              </a:defRPr>
            </a:pPr>
            <a:endParaRPr lang="zh-CN"/>
          </a:p>
        </c:txPr>
        <c:crossAx val="597421176"/>
        <c:crosses val="autoZero"/>
        <c:auto val="1"/>
        <c:lblAlgn val="ctr"/>
        <c:lblOffset val="100"/>
      </c:catAx>
      <c:valAx>
        <c:axId val="597421176"/>
        <c:scaling>
          <c:orientation val="minMax"/>
        </c:scaling>
        <c:axPos val="l"/>
        <c:majorGridlines>
          <c:spPr>
            <a:ln w="9525">
              <a:solidFill>
                <a:srgbClr val="D9D9D9">
                  <a:lumMod val="15000"/>
                  <a:lumOff val="85000"/>
                </a:srgbClr>
              </a:solidFill>
              <a:round/>
            </a:ln>
          </c:spPr>
        </c:majorGridlines>
        <c:title>
          <c:tx>
            <c:rich>
              <a:bodyPr rot="-5400000" spcFirstLastPara="1" vertOverflow="ellipsis" vert="horz" wrap="square" anchor="ctr" anchorCtr="1"/>
              <a:lstStyle/>
              <a:p>
                <a:pPr>
                  <a:defRPr lang="zh-CN" sz="1000" b="0" i="0" u="none" strike="noStrike" kern="1200" baseline="0">
                    <a:solidFill>
                      <a:srgbClr val="595959">
                        <a:lumMod val="65000"/>
                        <a:lumOff val="35000"/>
                      </a:srgbClr>
                    </a:solidFill>
                    <a:latin typeface="Times New Roman" panose="02020603050405020304" charset="0"/>
                    <a:ea typeface="+mn-ea"/>
                    <a:cs typeface="Times New Roman" panose="02020603050405020304" charset="0"/>
                  </a:defRPr>
                </a:pPr>
                <a:r>
                  <a:rPr lang="zh-CN"/>
                  <a:t>人口数量（万人）</a:t>
                </a:r>
              </a:p>
            </c:rich>
          </c:tx>
          <c:spPr>
            <a:noFill/>
            <a:ln>
              <a:noFill/>
            </a:ln>
          </c:spPr>
          <c:txPr>
            <a:bodyPr rot="-5400000" spcFirstLastPara="1" vertOverflow="ellipsis" vert="horz" wrap="square" anchor="ctr" anchorCtr="1"/>
            <a:lstStyle/>
            <a:p>
              <a:pPr>
                <a:defRPr lang="zh-CN" sz="1000" b="0" i="0" u="none" strike="noStrike" kern="1200" baseline="0">
                  <a:solidFill>
                    <a:srgbClr val="595959">
                      <a:lumMod val="65000"/>
                      <a:lumOff val="35000"/>
                    </a:srgbClr>
                  </a:solidFill>
                  <a:latin typeface="Times New Roman" panose="02020603050405020304" charset="0"/>
                  <a:ea typeface="+mn-ea"/>
                  <a:cs typeface="Times New Roman" panose="02020603050405020304" charset="0"/>
                </a:defRPr>
              </a:pPr>
              <a:endParaRPr lang="zh-CN"/>
            </a:p>
          </c:txPr>
        </c:title>
        <c:numFmt formatCode="General" sourceLinked="1"/>
        <c:majorTickMark val="none"/>
        <c:minorTickMark val="none"/>
        <c:tickLblPos val="nextTo"/>
        <c:spPr>
          <a:noFill/>
          <a:ln>
            <a:noFill/>
          </a:ln>
        </c:spPr>
        <c:txPr>
          <a:bodyPr rot="0" spcFirstLastPara="1" vertOverflow="ellipsis" vert="horz" wrap="square" anchor="ctr" anchorCtr="1"/>
          <a:lstStyle/>
          <a:p>
            <a:pPr>
              <a:defRPr lang="zh-CN" sz="900" b="0" i="0" u="none" strike="noStrike" kern="1200" baseline="0">
                <a:solidFill>
                  <a:srgbClr val="595959">
                    <a:lumMod val="65000"/>
                    <a:lumOff val="35000"/>
                  </a:srgbClr>
                </a:solidFill>
                <a:latin typeface="Times New Roman" panose="02020603050405020304" charset="0"/>
                <a:ea typeface="+mn-ea"/>
                <a:cs typeface="Times New Roman" panose="02020603050405020304" charset="0"/>
              </a:defRPr>
            </a:pPr>
            <a:endParaRPr lang="zh-CN"/>
          </a:p>
        </c:txPr>
        <c:crossAx val="597421960"/>
        <c:crosses val="autoZero"/>
        <c:crossBetween val="between"/>
      </c:valAx>
      <c:catAx>
        <c:axId val="597421568"/>
        <c:scaling>
          <c:orientation val="minMax"/>
        </c:scaling>
        <c:delete val="1"/>
        <c:axPos val="b"/>
        <c:numFmt formatCode="General" sourceLinked="1"/>
        <c:majorTickMark val="out"/>
        <c:minorTickMark val="none"/>
        <c:tickLblPos val="nextTo"/>
        <c:crossAx val="604501328"/>
        <c:crosses val="autoZero"/>
        <c:auto val="1"/>
        <c:lblAlgn val="ctr"/>
        <c:lblOffset val="100"/>
      </c:catAx>
      <c:valAx>
        <c:axId val="604501328"/>
        <c:scaling>
          <c:orientation val="minMax"/>
        </c:scaling>
        <c:axPos val="r"/>
        <c:title>
          <c:tx>
            <c:rich>
              <a:bodyPr rot="-5400000" spcFirstLastPara="1" vertOverflow="ellipsis" vert="horz" wrap="square" anchor="ctr" anchorCtr="1"/>
              <a:lstStyle/>
              <a:p>
                <a:pPr>
                  <a:defRPr lang="zh-CN" sz="1000" b="0" i="0" u="none" strike="noStrike" kern="1200" baseline="0">
                    <a:solidFill>
                      <a:srgbClr val="595959">
                        <a:lumMod val="65000"/>
                        <a:lumOff val="35000"/>
                      </a:srgbClr>
                    </a:solidFill>
                    <a:latin typeface="Times New Roman" panose="02020603050405020304" charset="0"/>
                    <a:ea typeface="+mn-ea"/>
                    <a:cs typeface="Times New Roman" panose="02020603050405020304" charset="0"/>
                  </a:defRPr>
                </a:pPr>
                <a:r>
                  <a:rPr lang="zh-CN"/>
                  <a:t>城市化率（</a:t>
                </a:r>
                <a:r>
                  <a:rPr lang="en-US"/>
                  <a:t>%</a:t>
                </a:r>
                <a:r>
                  <a:rPr lang="zh-CN"/>
                  <a:t>）</a:t>
                </a:r>
              </a:p>
            </c:rich>
          </c:tx>
          <c:spPr>
            <a:noFill/>
            <a:ln>
              <a:noFill/>
            </a:ln>
          </c:spPr>
          <c:txPr>
            <a:bodyPr rot="-5400000" spcFirstLastPara="1" vertOverflow="ellipsis" vert="horz" wrap="square" anchor="ctr" anchorCtr="1"/>
            <a:lstStyle/>
            <a:p>
              <a:pPr>
                <a:defRPr lang="zh-CN" sz="1000" b="0" i="0" u="none" strike="noStrike" kern="1200" baseline="0">
                  <a:solidFill>
                    <a:srgbClr val="595959">
                      <a:lumMod val="65000"/>
                      <a:lumOff val="35000"/>
                    </a:srgbClr>
                  </a:solidFill>
                  <a:latin typeface="Times New Roman" panose="02020603050405020304" charset="0"/>
                  <a:ea typeface="+mn-ea"/>
                  <a:cs typeface="Times New Roman" panose="02020603050405020304" charset="0"/>
                </a:defRPr>
              </a:pPr>
              <a:endParaRPr lang="zh-CN"/>
            </a:p>
          </c:txPr>
        </c:title>
        <c:numFmt formatCode="General" sourceLinked="1"/>
        <c:majorTickMark val="out"/>
        <c:minorTickMark val="none"/>
        <c:tickLblPos val="nextTo"/>
        <c:spPr>
          <a:noFill/>
          <a:ln>
            <a:noFill/>
          </a:ln>
        </c:spPr>
        <c:txPr>
          <a:bodyPr rot="0" spcFirstLastPara="1" vertOverflow="ellipsis" vert="horz" wrap="square" anchor="ctr" anchorCtr="1"/>
          <a:lstStyle/>
          <a:p>
            <a:pPr>
              <a:defRPr lang="zh-CN" sz="900" b="0" i="0" u="none" strike="noStrike" kern="1200" baseline="0">
                <a:solidFill>
                  <a:srgbClr val="595959">
                    <a:lumMod val="65000"/>
                    <a:lumOff val="35000"/>
                  </a:srgbClr>
                </a:solidFill>
                <a:latin typeface="Times New Roman" panose="02020603050405020304" charset="0"/>
                <a:ea typeface="+mn-ea"/>
                <a:cs typeface="Times New Roman" panose="02020603050405020304" charset="0"/>
              </a:defRPr>
            </a:pPr>
            <a:endParaRPr lang="zh-CN"/>
          </a:p>
        </c:txPr>
        <c:crossAx val="597421568"/>
        <c:crosses val="max"/>
        <c:crossBetween val="between"/>
      </c:valAx>
      <c:spPr>
        <a:noFill/>
        <a:ln>
          <a:noFill/>
        </a:ln>
      </c:spPr>
    </c:plotArea>
    <c:legend>
      <c:legendPos val="b"/>
      <c:layout>
        <c:manualLayout>
          <c:xMode val="edge"/>
          <c:yMode val="edge"/>
          <c:x val="0.258333333333333"/>
          <c:y val="0.894096675415573"/>
          <c:w val="0.511111111111111"/>
          <c:h val="0.0781255468066492"/>
        </c:manualLayout>
      </c:layout>
      <c:spPr>
        <a:noFill/>
        <a:ln>
          <a:noFill/>
        </a:ln>
      </c:spPr>
      <c:txPr>
        <a:bodyPr rot="0" spcFirstLastPara="1" vertOverflow="ellipsis" vert="horz" wrap="square" anchor="ctr" anchorCtr="1"/>
        <a:lstStyle/>
        <a:p>
          <a:pPr>
            <a:defRPr lang="zh-CN" sz="900" b="0" i="0" u="none" strike="noStrike" kern="1200" baseline="0">
              <a:solidFill>
                <a:srgbClr val="595959">
                  <a:lumMod val="65000"/>
                  <a:lumOff val="35000"/>
                </a:srgbClr>
              </a:solidFill>
              <a:latin typeface="Times New Roman" panose="02020603050405020304" charset="0"/>
              <a:ea typeface="+mn-ea"/>
              <a:cs typeface="Times New Roman" panose="02020603050405020304" charset="0"/>
            </a:defRPr>
          </a:pPr>
          <a:endParaRPr lang="zh-CN"/>
        </a:p>
      </c:txPr>
    </c:legend>
    <c:plotVisOnly val="1"/>
    <c:dispBlanksAs val="gap"/>
  </c:chart>
  <c:spPr>
    <a:solidFill>
      <a:srgbClr val="FFFFFF"/>
    </a:solidFill>
    <a:ln w="9525">
      <a:solidFill>
        <a:srgbClr val="D9D9D9">
          <a:lumMod val="15000"/>
          <a:lumOff val="85000"/>
        </a:srgbClr>
      </a:solidFill>
      <a:round/>
    </a:ln>
  </c:spPr>
  <c:txPr>
    <a:bodyPr/>
    <a:lstStyle/>
    <a:p>
      <a:pPr>
        <a:defRPr lang="zh-CN">
          <a:latin typeface="Times New Roman" panose="02020603050405020304" charset="0"/>
          <a:cs typeface="Times New Roman" panose="02020603050405020304" charset="0"/>
        </a:defRPr>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lang val="zh-CN"/>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16"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zh-CN" b="1">
                <a:latin typeface="+mn-ea"/>
                <a:ea typeface="+mn-ea"/>
              </a:rPr>
              <a:t>太仓市三产结构变化情况</a:t>
            </a:r>
          </a:p>
        </c:rich>
      </c:tx>
      <c:spPr>
        <a:noFill/>
        <a:ln>
          <a:noFill/>
        </a:ln>
      </c:spPr>
    </c:title>
    <c:plotArea>
      <c:barChart>
        <c:barDir val="col"/>
        <c:grouping val="percentStacked"/>
        <c:varyColors val="0"/>
        <c:ser>
          <c:idx val="0"/>
          <c:order val="0"/>
          <c:tx>
            <c:strRef>
              <c:f>社会经济!$B$17</c:f>
              <c:strCache>
                <c:ptCount val="1"/>
                <c:pt idx="0">
                  <c:v>第一产业</c:v>
                </c:pt>
              </c:strCache>
            </c:strRef>
          </c:tx>
          <c:spPr>
            <a:solidFill>
              <a:schemeClr val="accent1"/>
            </a:solidFill>
            <a:ln>
              <a:noFill/>
            </a:ln>
          </c:spPr>
          <c:dLbls>
            <c:spPr>
              <a:noFill/>
              <a:ln>
                <a:noFill/>
              </a:ln>
            </c:spPr>
            <c:txPr>
              <a:bodyPr rot="0" spcFirstLastPara="1" vertOverflow="ellipsis" vert="horz" wrap="square" lIns="38100" tIns="19050" rIns="38100" bIns="19050" anchor="ctr" anchorCtr="1">
                <a:spAutoFit/>
              </a:bodyPr>
              <a:lstStyle/>
              <a:p>
                <a:pPr>
                  <a:defRPr sz="1014"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zh-CN"/>
              </a:p>
            </c:txPr>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showLeaderLines val="0"/>
              </c:ext>
            </c:extLst>
          </c:dLbls>
          <c:cat>
            <c:numRef>
              <c:f>社会经济!$A$18:$A$22</c:f>
              <c:numCache>
                <c:formatCode>General</c:formatCode>
                <c:ptCount val="5"/>
                <c:pt idx="0">
                  <c:v>2016</c:v>
                </c:pt>
                <c:pt idx="1">
                  <c:v>2017</c:v>
                </c:pt>
                <c:pt idx="2">
                  <c:v>2018</c:v>
                </c:pt>
                <c:pt idx="3">
                  <c:v>2019</c:v>
                </c:pt>
                <c:pt idx="4">
                  <c:v>2020</c:v>
                </c:pt>
              </c:numCache>
            </c:numRef>
          </c:cat>
          <c:val>
            <c:numRef>
              <c:f>社会经济!$B$18:$B$22</c:f>
              <c:numCache>
                <c:formatCode>0.0%</c:formatCode>
                <c:ptCount val="5"/>
                <c:pt idx="0">
                  <c:v>0.032</c:v>
                </c:pt>
                <c:pt idx="1">
                  <c:v>0.029</c:v>
                </c:pt>
                <c:pt idx="2">
                  <c:v>0.026</c:v>
                </c:pt>
                <c:pt idx="3">
                  <c:v>0.025</c:v>
                </c:pt>
                <c:pt idx="4">
                  <c:v>0.019</c:v>
                </c:pt>
              </c:numCache>
            </c:numRef>
          </c:val>
        </c:ser>
        <c:ser>
          <c:idx val="1"/>
          <c:order val="1"/>
          <c:tx>
            <c:strRef>
              <c:f>社会经济!$C$17</c:f>
              <c:strCache>
                <c:ptCount val="1"/>
                <c:pt idx="0">
                  <c:v>第二产业</c:v>
                </c:pt>
              </c:strCache>
            </c:strRef>
          </c:tx>
          <c:spPr>
            <a:solidFill>
              <a:schemeClr val="accent2"/>
            </a:solidFill>
            <a:ln>
              <a:noFill/>
            </a:ln>
          </c:spPr>
          <c:dLbls>
            <c:spPr>
              <a:noFill/>
              <a:ln>
                <a:noFill/>
              </a:ln>
            </c:spPr>
            <c:txPr>
              <a:bodyPr rot="0" spcFirstLastPara="1" vertOverflow="ellipsis" vert="horz" wrap="square" lIns="38100" tIns="19050" rIns="38100" bIns="19050" anchor="ctr" anchorCtr="1">
                <a:spAutoFit/>
              </a:bodyPr>
              <a:lstStyle/>
              <a:p>
                <a:pPr>
                  <a:defRPr sz="1014"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zh-CN"/>
              </a:p>
            </c:txPr>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showLeaderLines val="0"/>
              </c:ext>
            </c:extLst>
          </c:dLbls>
          <c:cat>
            <c:numRef>
              <c:f>社会经济!$A$18:$A$22</c:f>
              <c:numCache>
                <c:formatCode>General</c:formatCode>
                <c:ptCount val="5"/>
                <c:pt idx="0">
                  <c:v>2016</c:v>
                </c:pt>
                <c:pt idx="1">
                  <c:v>2017</c:v>
                </c:pt>
                <c:pt idx="2">
                  <c:v>2018</c:v>
                </c:pt>
                <c:pt idx="3">
                  <c:v>2019</c:v>
                </c:pt>
                <c:pt idx="4">
                  <c:v>2020</c:v>
                </c:pt>
              </c:numCache>
            </c:numRef>
          </c:cat>
          <c:val>
            <c:numRef>
              <c:f>社会经济!$C$18:$C$22</c:f>
              <c:numCache>
                <c:formatCode>0.0%</c:formatCode>
                <c:ptCount val="5"/>
                <c:pt idx="0">
                  <c:v>0.505</c:v>
                </c:pt>
                <c:pt idx="1">
                  <c:v>0.506</c:v>
                </c:pt>
                <c:pt idx="2">
                  <c:v>0.508</c:v>
                </c:pt>
                <c:pt idx="3">
                  <c:v>0.491</c:v>
                </c:pt>
                <c:pt idx="4">
                  <c:v>0.481</c:v>
                </c:pt>
              </c:numCache>
            </c:numRef>
          </c:val>
        </c:ser>
        <c:ser>
          <c:idx val="2"/>
          <c:order val="2"/>
          <c:tx>
            <c:strRef>
              <c:f>社会经济!$D$17</c:f>
              <c:strCache>
                <c:ptCount val="1"/>
                <c:pt idx="0">
                  <c:v>第三产业</c:v>
                </c:pt>
              </c:strCache>
            </c:strRef>
          </c:tx>
          <c:spPr>
            <a:solidFill>
              <a:schemeClr val="accent3"/>
            </a:solidFill>
            <a:ln>
              <a:noFill/>
            </a:ln>
          </c:spPr>
          <c:dLbls>
            <c:spPr>
              <a:noFill/>
              <a:ln>
                <a:noFill/>
              </a:ln>
            </c:spPr>
            <c:txPr>
              <a:bodyPr rot="0" spcFirstLastPara="1" vertOverflow="ellipsis" vert="horz" wrap="square" lIns="38100" tIns="19050" rIns="38100" bIns="19050" anchor="ctr" anchorCtr="1">
                <a:spAutoFit/>
              </a:bodyPr>
              <a:lstStyle/>
              <a:p>
                <a:pPr>
                  <a:defRPr sz="1014"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zh-CN"/>
              </a:p>
            </c:txPr>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showLeaderLines val="0"/>
              </c:ext>
            </c:extLst>
          </c:dLbls>
          <c:cat>
            <c:numRef>
              <c:f>社会经济!$A$18:$A$22</c:f>
              <c:numCache>
                <c:formatCode>General</c:formatCode>
                <c:ptCount val="5"/>
                <c:pt idx="0">
                  <c:v>2016</c:v>
                </c:pt>
                <c:pt idx="1">
                  <c:v>2017</c:v>
                </c:pt>
                <c:pt idx="2">
                  <c:v>2018</c:v>
                </c:pt>
                <c:pt idx="3">
                  <c:v>2019</c:v>
                </c:pt>
                <c:pt idx="4">
                  <c:v>2020</c:v>
                </c:pt>
              </c:numCache>
            </c:numRef>
          </c:cat>
          <c:val>
            <c:numRef>
              <c:f>社会经济!$D$18:$D$22</c:f>
              <c:numCache>
                <c:formatCode>0.0%</c:formatCode>
                <c:ptCount val="5"/>
                <c:pt idx="0">
                  <c:v>0.463</c:v>
                </c:pt>
                <c:pt idx="1">
                  <c:v>0.465</c:v>
                </c:pt>
                <c:pt idx="2">
                  <c:v>0.466</c:v>
                </c:pt>
                <c:pt idx="3">
                  <c:v>0.484</c:v>
                </c:pt>
                <c:pt idx="4">
                  <c:v>0.5</c:v>
                </c:pt>
              </c:numCache>
            </c:numRef>
          </c:val>
        </c:ser>
        <c:dLbls>
          <c:showLegendKey val="0"/>
          <c:showVal val="0"/>
          <c:showCatName val="0"/>
          <c:showSerName val="0"/>
          <c:showPercent val="0"/>
          <c:showBubbleSize val="0"/>
        </c:dLbls>
        <c:gapWidth val="150"/>
        <c:overlap val="100"/>
        <c:axId val="604502112"/>
        <c:axId val="604500936"/>
      </c:barChart>
      <c:catAx>
        <c:axId val="604502112"/>
        <c:scaling>
          <c:orientation val="minMax"/>
        </c:scaling>
        <c:axPos val="b"/>
        <c:numFmt formatCode="General" sourceLinked="1"/>
        <c:majorTickMark val="none"/>
        <c:minorTickMark val="none"/>
        <c:tickLblPos val="nextTo"/>
        <c:spPr>
          <a:noFill/>
          <a:ln w="9656">
            <a:solidFill>
              <a:schemeClr val="tx1">
                <a:lumMod val="15000"/>
                <a:lumOff val="85000"/>
              </a:schemeClr>
            </a:solidFill>
            <a:round/>
          </a:ln>
        </c:spPr>
        <c:txPr>
          <a:bodyPr rot="0" spcFirstLastPara="1" vertOverflow="ellipsis" vert="horz" wrap="square" anchor="ctr" anchorCtr="1"/>
          <a:lstStyle/>
          <a:p>
            <a:pPr>
              <a:defRPr sz="1014"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CN"/>
          </a:p>
        </c:txPr>
        <c:crossAx val="604500936"/>
        <c:crosses val="autoZero"/>
        <c:auto val="1"/>
        <c:lblAlgn val="ctr"/>
        <c:lblOffset val="100"/>
      </c:catAx>
      <c:valAx>
        <c:axId val="604500936"/>
        <c:scaling>
          <c:orientation val="minMax"/>
        </c:scaling>
        <c:axPos val="l"/>
        <c:majorGridlines>
          <c:spPr>
            <a:ln w="9656">
              <a:solidFill>
                <a:schemeClr val="tx1">
                  <a:lumMod val="15000"/>
                  <a:lumOff val="85000"/>
                </a:schemeClr>
              </a:solidFill>
              <a:round/>
            </a:ln>
          </c:spPr>
        </c:majorGridlines>
        <c:numFmt formatCode="0%" sourceLinked="1"/>
        <c:majorTickMark val="none"/>
        <c:minorTickMark val="none"/>
        <c:tickLblPos val="nextTo"/>
        <c:spPr>
          <a:noFill/>
          <a:ln>
            <a:noFill/>
          </a:ln>
        </c:spPr>
        <c:txPr>
          <a:bodyPr rot="0" spcFirstLastPara="1" vertOverflow="ellipsis" vert="horz" wrap="square" anchor="ctr" anchorCtr="1"/>
          <a:lstStyle/>
          <a:p>
            <a:pPr>
              <a:defRPr sz="1014"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CN"/>
          </a:p>
        </c:txPr>
        <c:crossAx val="604502112"/>
        <c:crosses val="autoZero"/>
        <c:crossBetween val="between"/>
      </c:valAx>
      <c:spPr>
        <a:noFill/>
        <a:ln w="25749">
          <a:noFill/>
        </a:ln>
      </c:spPr>
    </c:plotArea>
    <c:legend>
      <c:legendPos val="b"/>
      <c:layout>
        <c:manualLayout>
          <c:xMode val="edge"/>
          <c:yMode val="edge"/>
          <c:x val="0.10667850561233036"/>
          <c:y val="0.87781187278060835"/>
          <c:w val="0.79219858156028367"/>
          <c:h val="0.079688127219391669"/>
        </c:manualLayout>
      </c:layout>
      <c:spPr>
        <a:noFill/>
        <a:ln>
          <a:noFill/>
        </a:ln>
      </c:spPr>
      <c:txPr>
        <a:bodyPr rot="0" spcFirstLastPara="1" vertOverflow="ellipsis" vert="horz" wrap="square" anchor="ctr" anchorCtr="1"/>
        <a:lstStyle/>
        <a:p>
          <a:pPr>
            <a:defRPr sz="1014"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CN"/>
        </a:p>
      </c:txPr>
    </c:legend>
    <c:plotVisOnly val="1"/>
    <c:dispBlanksAs val="gap"/>
  </c:chart>
  <c:spPr>
    <a:solidFill>
      <a:schemeClr val="bg1"/>
    </a:solidFill>
    <a:ln w="9656">
      <a:solidFill>
        <a:schemeClr val="tx1">
          <a:lumMod val="15000"/>
          <a:lumOff val="85000"/>
        </a:schemeClr>
      </a:solidFill>
      <a:round/>
    </a:ln>
  </c:spPr>
  <c:txPr>
    <a:bodyPr/>
    <a:lstStyle/>
    <a:p>
      <a:pPr>
        <a:defRPr sz="1014">
          <a:latin typeface="Times New Roman" panose="02020603050405020304" pitchFamily="18" charset="0"/>
          <a:cs typeface="Times New Roman" panose="02020603050405020304" pitchFamily="18" charset="0"/>
        </a:defRPr>
      </a:pPr>
      <a:endParaRPr lang="zh-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lang val="zh-CN"/>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1" i="0" u="none" strike="noStrike" kern="1200" spc="0" baseline="0">
                <a:solidFill>
                  <a:srgbClr val="595959">
                    <a:lumMod val="65000"/>
                    <a:lumOff val="35000"/>
                  </a:srgbClr>
                </a:solidFill>
                <a:latin typeface="Times New Roman" panose="02020603050405020304" charset="0"/>
                <a:ea typeface="+mn-ea"/>
                <a:cs typeface="Times New Roman" panose="02020603050405020304" charset="0"/>
              </a:defRPr>
            </a:pPr>
            <a:r>
              <a:rPr lang="zh-CN" altLang="en-US" sz="1200" b="1"/>
              <a:t>太仓市工业废气及主要污染物排放量统计图</a:t>
            </a:r>
            <a:endParaRPr lang="zh-CN" sz="1200" b="1"/>
          </a:p>
        </c:rich>
      </c:tx>
      <c:layout>
        <c:manualLayout>
          <c:xMode val="edge"/>
          <c:yMode val="edge"/>
          <c:x val="0.162701224846894"/>
          <c:y val="0.0277777777777778"/>
        </c:manualLayout>
      </c:layout>
      <c:spPr>
        <a:noFill/>
        <a:ln>
          <a:noFill/>
        </a:ln>
      </c:spPr>
      <c:txPr>
        <a:bodyPr rot="0" spcFirstLastPara="1" vertOverflow="ellipsis" vert="horz" wrap="square" anchor="ctr" anchorCtr="1"/>
        <a:lstStyle/>
        <a:p>
          <a:pPr>
            <a:defRPr lang="zh-CN" sz="1400" b="1" i="0" u="none" strike="noStrike" kern="1200" spc="0" baseline="0">
              <a:solidFill>
                <a:srgbClr val="595959">
                  <a:lumMod val="65000"/>
                  <a:lumOff val="35000"/>
                </a:srgbClr>
              </a:solidFill>
              <a:latin typeface="Times New Roman" panose="02020603050405020304" charset="0"/>
              <a:ea typeface="+mn-ea"/>
              <a:cs typeface="Times New Roman" panose="02020603050405020304" charset="0"/>
            </a:defRPr>
          </a:pPr>
          <a:endParaRPr lang="zh-CN"/>
        </a:p>
      </c:txPr>
    </c:title>
    <c:plotArea>
      <c:barChart>
        <c:barDir val="col"/>
        <c:grouping val="clustered"/>
        <c:varyColors val="0"/>
        <c:ser>
          <c:idx val="0"/>
          <c:order val="0"/>
          <c:tx>
            <c:strRef>
              <c:f>[太仓市环境质量统计表.xlsx]污染物排放!$A$4</c:f>
              <c:strCache>
                <c:ptCount val="1"/>
                <c:pt idx="0">
                  <c:v>工业废气</c:v>
                </c:pt>
              </c:strCache>
            </c:strRef>
          </c:tx>
          <c:spPr>
            <a:solidFill>
              <a:srgbClr val="4F81BD"/>
            </a:solidFill>
            <a:ln>
              <a:noFill/>
            </a:ln>
          </c:spPr>
          <c:cat>
            <c:strRef>
              <c:f>[太仓市环境质量统计表.xlsx]污染物排放!$C$3:$G$3</c:f>
              <c:strCache>
                <c:ptCount val="5"/>
                <c:pt idx="0">
                  <c:v>2016年</c:v>
                </c:pt>
                <c:pt idx="1">
                  <c:v>2017年</c:v>
                </c:pt>
                <c:pt idx="2">
                  <c:v>2018年</c:v>
                </c:pt>
                <c:pt idx="3">
                  <c:v>2019年</c:v>
                </c:pt>
                <c:pt idx="4">
                  <c:v>2020年</c:v>
                </c:pt>
              </c:strCache>
            </c:strRef>
          </c:cat>
          <c:val>
            <c:numRef>
              <c:f>[太仓市环境质量统计表.xlsx]污染物排放!$C$4:$G$4</c:f>
              <c:numCache>
                <c:formatCode>0.00_ </c:formatCode>
                <c:ptCount val="5"/>
                <c:pt idx="0">
                  <c:v>1327.4</c:v>
                </c:pt>
                <c:pt idx="1">
                  <c:v>1221.6</c:v>
                </c:pt>
                <c:pt idx="2">
                  <c:v>1135.8</c:v>
                </c:pt>
                <c:pt idx="3">
                  <c:v>1133.86</c:v>
                </c:pt>
                <c:pt idx="4" formatCode="General">
                  <c:v>1137</c:v>
                </c:pt>
              </c:numCache>
            </c:numRef>
          </c:val>
        </c:ser>
        <c:dLbls>
          <c:showLegendKey val="0"/>
          <c:showVal val="0"/>
          <c:showCatName val="0"/>
          <c:showSerName val="0"/>
          <c:showPercent val="0"/>
          <c:showBubbleSize val="0"/>
        </c:dLbls>
        <c:gapWidth val="150"/>
        <c:axId val="604502896"/>
        <c:axId val="604500544"/>
      </c:barChart>
      <c:lineChart>
        <c:grouping val="standard"/>
        <c:varyColors val="0"/>
        <c:ser>
          <c:idx val="1"/>
          <c:order val="1"/>
          <c:tx>
            <c:strRef>
              <c:f>[太仓市环境质量统计表.xlsx]污染物排放!$A$5</c:f>
              <c:strCache>
                <c:ptCount val="1"/>
                <c:pt idx="0">
                  <c:v>二氧化硫</c:v>
                </c:pt>
              </c:strCache>
            </c:strRef>
          </c:tx>
          <c:spPr>
            <a:ln w="28575" cap="rnd">
              <a:solidFill>
                <a:srgbClr val="C0504D"/>
              </a:solidFill>
              <a:round/>
            </a:ln>
          </c:spPr>
          <c:marker>
            <c:symbol val="none"/>
          </c:marker>
          <c:cat>
            <c:strRef>
              <c:f>[太仓市环境质量统计表.xlsx]污染物排放!$C$3:$G$3</c:f>
              <c:strCache>
                <c:ptCount val="5"/>
                <c:pt idx="0">
                  <c:v>2016年</c:v>
                </c:pt>
                <c:pt idx="1">
                  <c:v>2017年</c:v>
                </c:pt>
                <c:pt idx="2">
                  <c:v>2018年</c:v>
                </c:pt>
                <c:pt idx="3">
                  <c:v>2019年</c:v>
                </c:pt>
                <c:pt idx="4">
                  <c:v>2020年</c:v>
                </c:pt>
              </c:strCache>
            </c:strRef>
          </c:cat>
          <c:val>
            <c:numRef>
              <c:f>[太仓市环境质量统计表.xlsx]污染物排放!$C$5:$G$5</c:f>
              <c:numCache>
                <c:formatCode>0.00_ </c:formatCode>
                <c:ptCount val="5"/>
                <c:pt idx="0">
                  <c:v>14821.1</c:v>
                </c:pt>
                <c:pt idx="1">
                  <c:v>12695.1795</c:v>
                </c:pt>
                <c:pt idx="2">
                  <c:v>11639.11</c:v>
                </c:pt>
                <c:pt idx="3">
                  <c:v>10252.49</c:v>
                </c:pt>
                <c:pt idx="4" formatCode="General">
                  <c:v>2494</c:v>
                </c:pt>
              </c:numCache>
            </c:numRef>
          </c:val>
        </c:ser>
        <c:ser>
          <c:idx val="2"/>
          <c:order val="2"/>
          <c:tx>
            <c:strRef>
              <c:f>[太仓市环境质量统计表.xlsx]污染物排放!$A$6</c:f>
              <c:strCache>
                <c:ptCount val="1"/>
                <c:pt idx="0">
                  <c:v>氮氧化物</c:v>
                </c:pt>
              </c:strCache>
            </c:strRef>
          </c:tx>
          <c:spPr>
            <a:ln w="28575" cap="rnd">
              <a:solidFill>
                <a:srgbClr val="9BBB59"/>
              </a:solidFill>
              <a:round/>
            </a:ln>
          </c:spPr>
          <c:marker>
            <c:symbol val="none"/>
          </c:marker>
          <c:cat>
            <c:strRef>
              <c:f>[太仓市环境质量统计表.xlsx]污染物排放!$C$3:$G$3</c:f>
              <c:strCache>
                <c:ptCount val="5"/>
                <c:pt idx="0">
                  <c:v>2016年</c:v>
                </c:pt>
                <c:pt idx="1">
                  <c:v>2017年</c:v>
                </c:pt>
                <c:pt idx="2">
                  <c:v>2018年</c:v>
                </c:pt>
                <c:pt idx="3">
                  <c:v>2019年</c:v>
                </c:pt>
                <c:pt idx="4">
                  <c:v>2020年</c:v>
                </c:pt>
              </c:strCache>
            </c:strRef>
          </c:cat>
          <c:val>
            <c:numRef>
              <c:f>[太仓市环境质量统计表.xlsx]污染物排放!$C$6:$G$6</c:f>
              <c:numCache>
                <c:formatCode>0.00_ </c:formatCode>
                <c:ptCount val="5"/>
                <c:pt idx="0">
                  <c:v>15569.45</c:v>
                </c:pt>
                <c:pt idx="1">
                  <c:v>14044.33</c:v>
                </c:pt>
                <c:pt idx="2">
                  <c:v>13409.43</c:v>
                </c:pt>
                <c:pt idx="3">
                  <c:v>12761.5</c:v>
                </c:pt>
                <c:pt idx="4" formatCode="General">
                  <c:v>6192</c:v>
                </c:pt>
              </c:numCache>
            </c:numRef>
          </c:val>
        </c:ser>
        <c:ser>
          <c:idx val="3"/>
          <c:order val="3"/>
          <c:tx>
            <c:strRef>
              <c:f>[太仓市环境质量统计表.xlsx]污染物排放!$A$7</c:f>
              <c:strCache>
                <c:ptCount val="1"/>
                <c:pt idx="0">
                  <c:v>烟（粉）尘</c:v>
                </c:pt>
              </c:strCache>
            </c:strRef>
          </c:tx>
          <c:spPr>
            <a:ln w="28575" cap="rnd">
              <a:solidFill>
                <a:srgbClr val="8064A2"/>
              </a:solidFill>
              <a:round/>
            </a:ln>
          </c:spPr>
          <c:marker>
            <c:symbol val="none"/>
          </c:marker>
          <c:cat>
            <c:strRef>
              <c:f>[太仓市环境质量统计表.xlsx]污染物排放!$C$3:$G$3</c:f>
              <c:strCache>
                <c:ptCount val="5"/>
                <c:pt idx="0">
                  <c:v>2016年</c:v>
                </c:pt>
                <c:pt idx="1">
                  <c:v>2017年</c:v>
                </c:pt>
                <c:pt idx="2">
                  <c:v>2018年</c:v>
                </c:pt>
                <c:pt idx="3">
                  <c:v>2019年</c:v>
                </c:pt>
                <c:pt idx="4">
                  <c:v>2020年</c:v>
                </c:pt>
              </c:strCache>
            </c:strRef>
          </c:cat>
          <c:val>
            <c:numRef>
              <c:f>[太仓市环境质量统计表.xlsx]污染物排放!$C$7:$G$7</c:f>
              <c:numCache>
                <c:formatCode>0.00_ </c:formatCode>
                <c:ptCount val="5"/>
                <c:pt idx="0">
                  <c:v>4845.55</c:v>
                </c:pt>
                <c:pt idx="1">
                  <c:v>4123.1416</c:v>
                </c:pt>
                <c:pt idx="2">
                  <c:v>3837.07</c:v>
                </c:pt>
                <c:pt idx="3">
                  <c:v>2714.27</c:v>
                </c:pt>
                <c:pt idx="4" formatCode="General">
                  <c:v>505</c:v>
                </c:pt>
              </c:numCache>
            </c:numRef>
          </c:val>
        </c:ser>
        <c:ser>
          <c:idx val="4"/>
          <c:order val="4"/>
          <c:tx>
            <c:strRef>
              <c:f>[太仓市环境质量统计表.xlsx]污染物排放!$A$8</c:f>
              <c:strCache>
                <c:ptCount val="1"/>
                <c:pt idx="0">
                  <c:v>挥发性有机物</c:v>
                </c:pt>
              </c:strCache>
            </c:strRef>
          </c:tx>
          <c:spPr>
            <a:ln w="28575" cap="rnd">
              <a:solidFill>
                <a:srgbClr val="4BACC6"/>
              </a:solidFill>
              <a:round/>
            </a:ln>
          </c:spPr>
          <c:marker>
            <c:symbol val="none"/>
          </c:marker>
          <c:cat>
            <c:strRef>
              <c:f>[太仓市环境质量统计表.xlsx]污染物排放!$C$3:$G$3</c:f>
              <c:strCache>
                <c:ptCount val="5"/>
                <c:pt idx="0">
                  <c:v>2016年</c:v>
                </c:pt>
                <c:pt idx="1">
                  <c:v>2017年</c:v>
                </c:pt>
                <c:pt idx="2">
                  <c:v>2018年</c:v>
                </c:pt>
                <c:pt idx="3">
                  <c:v>2019年</c:v>
                </c:pt>
                <c:pt idx="4">
                  <c:v>2020年</c:v>
                </c:pt>
              </c:strCache>
            </c:strRef>
          </c:cat>
          <c:val>
            <c:numRef>
              <c:f>[太仓市环境质量统计表.xlsx]污染物排放!$C$8:$G$8</c:f>
              <c:numCache>
                <c:formatCode>0.00_ </c:formatCode>
                <c:ptCount val="5"/>
                <c:pt idx="0">
                  <c:v>4487.342</c:v>
                </c:pt>
                <c:pt idx="1">
                  <c:v>4033.4773</c:v>
                </c:pt>
                <c:pt idx="2">
                  <c:v>4049.8948</c:v>
                </c:pt>
                <c:pt idx="3">
                  <c:v>1730.1255</c:v>
                </c:pt>
                <c:pt idx="4" formatCode="General">
                  <c:v>489</c:v>
                </c:pt>
              </c:numCache>
            </c:numRef>
          </c:val>
        </c:ser>
        <c:dLbls>
          <c:showLegendKey val="0"/>
          <c:showVal val="0"/>
          <c:showCatName val="0"/>
          <c:showSerName val="0"/>
          <c:showPercent val="0"/>
          <c:showBubbleSize val="0"/>
        </c:dLbls>
        <c:marker val="1"/>
        <c:smooth val="0"/>
        <c:axId val="604499760"/>
        <c:axId val="604500152"/>
      </c:lineChart>
      <c:catAx>
        <c:axId val="604499760"/>
        <c:scaling>
          <c:orientation val="minMax"/>
        </c:scaling>
        <c:axPos val="b"/>
        <c:numFmt formatCode="General" sourceLinked="1"/>
        <c:majorTickMark val="none"/>
        <c:minorTickMark val="none"/>
        <c:tickLblPos val="nextTo"/>
        <c:spPr>
          <a:noFill/>
          <a:ln w="9525">
            <a:solidFill>
              <a:srgbClr val="D9D9D9">
                <a:lumMod val="15000"/>
                <a:lumOff val="85000"/>
              </a:srgbClr>
            </a:solidFill>
            <a:round/>
          </a:ln>
        </c:spPr>
        <c:txPr>
          <a:bodyPr rot="0" spcFirstLastPara="1" vertOverflow="ellipsis" vert="horz" wrap="square" anchor="ctr" anchorCtr="1"/>
          <a:lstStyle/>
          <a:p>
            <a:pPr>
              <a:defRPr lang="zh-CN" sz="900" b="0" i="0" u="none" strike="noStrike" kern="1200" baseline="0">
                <a:solidFill>
                  <a:srgbClr val="595959">
                    <a:lumMod val="65000"/>
                    <a:lumOff val="35000"/>
                  </a:srgbClr>
                </a:solidFill>
                <a:latin typeface="Times New Roman" panose="02020603050405020304" charset="0"/>
                <a:ea typeface="+mn-ea"/>
                <a:cs typeface="Times New Roman" panose="02020603050405020304" charset="0"/>
              </a:defRPr>
            </a:pPr>
            <a:endParaRPr lang="zh-CN"/>
          </a:p>
        </c:txPr>
        <c:crossAx val="604500152"/>
        <c:crosses val="autoZero"/>
        <c:auto val="1"/>
        <c:lblAlgn val="ctr"/>
        <c:lblOffset val="100"/>
      </c:catAx>
      <c:valAx>
        <c:axId val="604500152"/>
        <c:scaling>
          <c:orientation val="minMax"/>
        </c:scaling>
        <c:axPos val="l"/>
        <c:majorGridlines>
          <c:spPr>
            <a:ln w="9525">
              <a:solidFill>
                <a:srgbClr val="D9D9D9">
                  <a:lumMod val="15000"/>
                  <a:lumOff val="85000"/>
                </a:srgbClr>
              </a:solidFill>
              <a:round/>
            </a:ln>
          </c:spPr>
        </c:majorGridlines>
        <c:title>
          <c:tx>
            <c:rich>
              <a:bodyPr rot="-5400000" spcFirstLastPara="1" vertOverflow="ellipsis" vert="horz" wrap="square" anchor="ctr" anchorCtr="1"/>
              <a:lstStyle/>
              <a:p>
                <a:pPr>
                  <a:defRPr lang="zh-CN" sz="1000" b="0" i="0" u="none" strike="noStrike" kern="1200" baseline="0">
                    <a:solidFill>
                      <a:srgbClr val="595959">
                        <a:lumMod val="65000"/>
                        <a:lumOff val="35000"/>
                      </a:srgbClr>
                    </a:solidFill>
                    <a:latin typeface="Times New Roman" panose="02020603050405020304" charset="0"/>
                    <a:ea typeface="+mn-ea"/>
                    <a:cs typeface="Times New Roman" panose="02020603050405020304" charset="0"/>
                  </a:defRPr>
                </a:pPr>
                <a:r>
                  <a:rPr lang="zh-CN"/>
                  <a:t>主要污染物排放量（吨）</a:t>
                </a:r>
              </a:p>
            </c:rich>
          </c:tx>
          <c:layout>
            <c:manualLayout>
              <c:xMode val="edge"/>
              <c:yMode val="edge"/>
              <c:x val="0.0305555555555556"/>
              <c:y val="0.153703703703704"/>
            </c:manualLayout>
          </c:layout>
          <c:spPr>
            <a:noFill/>
            <a:ln>
              <a:noFill/>
            </a:ln>
          </c:spPr>
          <c:txPr>
            <a:bodyPr rot="-5400000" spcFirstLastPara="1" vertOverflow="ellipsis" vert="horz" wrap="square" anchor="ctr" anchorCtr="1"/>
            <a:lstStyle/>
            <a:p>
              <a:pPr>
                <a:defRPr lang="zh-CN" sz="1000" b="0" i="0" u="none" strike="noStrike" kern="1200" baseline="0">
                  <a:solidFill>
                    <a:srgbClr val="595959">
                      <a:lumMod val="65000"/>
                      <a:lumOff val="35000"/>
                    </a:srgbClr>
                  </a:solidFill>
                  <a:latin typeface="Times New Roman" panose="02020603050405020304" charset="0"/>
                  <a:ea typeface="+mn-ea"/>
                  <a:cs typeface="Times New Roman" panose="02020603050405020304" charset="0"/>
                </a:defRPr>
              </a:pPr>
              <a:endParaRPr lang="zh-CN"/>
            </a:p>
          </c:txPr>
        </c:title>
        <c:numFmt formatCode="0.00_ " sourceLinked="1"/>
        <c:majorTickMark val="none"/>
        <c:minorTickMark val="none"/>
        <c:tickLblPos val="nextTo"/>
        <c:spPr>
          <a:noFill/>
          <a:ln>
            <a:noFill/>
          </a:ln>
        </c:spPr>
        <c:txPr>
          <a:bodyPr rot="0" spcFirstLastPara="1" vertOverflow="ellipsis" vert="horz" wrap="square" anchor="ctr" anchorCtr="1"/>
          <a:lstStyle/>
          <a:p>
            <a:pPr>
              <a:defRPr lang="zh-CN" sz="900" b="0" i="0" u="none" strike="noStrike" kern="1200" baseline="0">
                <a:solidFill>
                  <a:srgbClr val="595959">
                    <a:lumMod val="65000"/>
                    <a:lumOff val="35000"/>
                  </a:srgbClr>
                </a:solidFill>
                <a:latin typeface="Times New Roman" panose="02020603050405020304" charset="0"/>
                <a:ea typeface="+mn-ea"/>
                <a:cs typeface="Times New Roman" panose="02020603050405020304" charset="0"/>
              </a:defRPr>
            </a:pPr>
            <a:endParaRPr lang="zh-CN"/>
          </a:p>
        </c:txPr>
        <c:crossAx val="604499760"/>
        <c:crosses val="autoZero"/>
        <c:crossBetween val="between"/>
      </c:valAx>
      <c:catAx>
        <c:axId val="604502896"/>
        <c:scaling>
          <c:orientation val="minMax"/>
        </c:scaling>
        <c:delete val="1"/>
        <c:axPos val="b"/>
        <c:numFmt formatCode="General" sourceLinked="1"/>
        <c:majorTickMark val="out"/>
        <c:minorTickMark val="none"/>
        <c:tickLblPos val="nextTo"/>
        <c:crossAx val="604500544"/>
        <c:crosses val="autoZero"/>
        <c:auto val="1"/>
        <c:lblAlgn val="ctr"/>
        <c:lblOffset val="100"/>
      </c:catAx>
      <c:valAx>
        <c:axId val="604500544"/>
        <c:scaling>
          <c:orientation val="minMax"/>
        </c:scaling>
        <c:axPos val="r"/>
        <c:title>
          <c:tx>
            <c:rich>
              <a:bodyPr rot="-5400000" spcFirstLastPara="1" vertOverflow="ellipsis" vert="horz" wrap="square" anchor="ctr" anchorCtr="1"/>
              <a:lstStyle/>
              <a:p>
                <a:pPr>
                  <a:defRPr lang="zh-CN" sz="1000" b="0" i="0" u="none" strike="noStrike" kern="1200" baseline="0">
                    <a:solidFill>
                      <a:srgbClr val="595959">
                        <a:lumMod val="65000"/>
                        <a:lumOff val="35000"/>
                      </a:srgbClr>
                    </a:solidFill>
                    <a:latin typeface="Times New Roman" panose="02020603050405020304" charset="0"/>
                    <a:ea typeface="+mn-ea"/>
                    <a:cs typeface="Times New Roman" panose="02020603050405020304" charset="0"/>
                  </a:defRPr>
                </a:pPr>
                <a:r>
                  <a:rPr lang="zh-CN"/>
                  <a:t>工业废气排放量</a:t>
                </a:r>
                <a:endParaRPr lang="en-US"/>
              </a:p>
              <a:p>
                <a:pPr>
                  <a:defRPr/>
                </a:pPr>
                <a:r>
                  <a:rPr lang="zh-CN"/>
                  <a:t>（亿标立方米）</a:t>
                </a:r>
              </a:p>
            </c:rich>
          </c:tx>
          <c:layout>
            <c:manualLayout>
              <c:xMode val="edge"/>
              <c:yMode val="edge"/>
              <c:x val="0.897222222222222"/>
              <c:y val="0.244008457276174"/>
            </c:manualLayout>
          </c:layout>
          <c:spPr>
            <a:noFill/>
            <a:ln>
              <a:noFill/>
            </a:ln>
          </c:spPr>
          <c:txPr>
            <a:bodyPr rot="-5400000" spcFirstLastPara="1" vertOverflow="ellipsis" vert="horz" wrap="square" anchor="ctr" anchorCtr="1"/>
            <a:lstStyle/>
            <a:p>
              <a:pPr>
                <a:defRPr lang="zh-CN" sz="1000" b="0" i="0" u="none" strike="noStrike" kern="1200" baseline="0">
                  <a:solidFill>
                    <a:srgbClr val="595959">
                      <a:lumMod val="65000"/>
                      <a:lumOff val="35000"/>
                    </a:srgbClr>
                  </a:solidFill>
                  <a:latin typeface="Times New Roman" panose="02020603050405020304" charset="0"/>
                  <a:ea typeface="+mn-ea"/>
                  <a:cs typeface="Times New Roman" panose="02020603050405020304" charset="0"/>
                </a:defRPr>
              </a:pPr>
              <a:endParaRPr lang="zh-CN"/>
            </a:p>
          </c:txPr>
        </c:title>
        <c:numFmt formatCode="0.00_ " sourceLinked="1"/>
        <c:majorTickMark val="out"/>
        <c:minorTickMark val="none"/>
        <c:tickLblPos val="nextTo"/>
        <c:spPr>
          <a:noFill/>
          <a:ln>
            <a:noFill/>
          </a:ln>
        </c:spPr>
        <c:txPr>
          <a:bodyPr rot="0" spcFirstLastPara="1" vertOverflow="ellipsis" vert="horz" wrap="square" anchor="ctr" anchorCtr="1"/>
          <a:lstStyle/>
          <a:p>
            <a:pPr>
              <a:defRPr lang="zh-CN" sz="900" b="0" i="0" u="none" strike="noStrike" kern="1200" baseline="0">
                <a:solidFill>
                  <a:srgbClr val="595959">
                    <a:lumMod val="65000"/>
                    <a:lumOff val="35000"/>
                  </a:srgbClr>
                </a:solidFill>
                <a:latin typeface="Times New Roman" panose="02020603050405020304" charset="0"/>
                <a:ea typeface="+mn-ea"/>
                <a:cs typeface="Times New Roman" panose="02020603050405020304" charset="0"/>
              </a:defRPr>
            </a:pPr>
            <a:endParaRPr lang="zh-CN"/>
          </a:p>
        </c:txPr>
        <c:crossAx val="604502896"/>
        <c:crosses val="max"/>
        <c:crossBetween val="between"/>
      </c:valAx>
      <c:spPr>
        <a:noFill/>
        <a:ln>
          <a:noFill/>
        </a:ln>
      </c:spPr>
    </c:plotArea>
    <c:legend>
      <c:legendPos val="b"/>
      <c:layout>
        <c:manualLayout>
          <c:xMode val="edge"/>
          <c:yMode val="edge"/>
          <c:x val="0.08766915102027599"/>
          <c:y val="0.8646923400786507"/>
          <c:w val="0.833333333333333"/>
          <c:h val="0.131112125745793"/>
        </c:manualLayout>
      </c:layout>
      <c:spPr>
        <a:noFill/>
        <a:ln>
          <a:noFill/>
        </a:ln>
      </c:spPr>
      <c:txPr>
        <a:bodyPr rot="0" spcFirstLastPara="1" vertOverflow="ellipsis" vert="horz" wrap="square" anchor="ctr" anchorCtr="1"/>
        <a:lstStyle/>
        <a:p>
          <a:pPr>
            <a:defRPr lang="zh-CN" sz="900" b="0" i="0" u="none" strike="noStrike" kern="1200" baseline="0">
              <a:solidFill>
                <a:srgbClr val="595959">
                  <a:lumMod val="65000"/>
                  <a:lumOff val="35000"/>
                </a:srgbClr>
              </a:solidFill>
              <a:latin typeface="Times New Roman" panose="02020603050405020304" charset="0"/>
              <a:ea typeface="+mn-ea"/>
              <a:cs typeface="Times New Roman" panose="02020603050405020304" charset="0"/>
            </a:defRPr>
          </a:pPr>
          <a:endParaRPr lang="zh-CN"/>
        </a:p>
      </c:txPr>
    </c:legend>
    <c:plotVisOnly val="1"/>
    <c:dispBlanksAs val="gap"/>
  </c:chart>
  <c:spPr>
    <a:solidFill>
      <a:srgbClr val="FFFFFF"/>
    </a:solidFill>
    <a:ln w="9525">
      <a:solidFill>
        <a:srgbClr val="D9D9D9">
          <a:lumMod val="15000"/>
          <a:lumOff val="85000"/>
        </a:srgbClr>
      </a:solidFill>
      <a:round/>
    </a:ln>
  </c:spPr>
  <c:txPr>
    <a:bodyPr/>
    <a:lstStyle/>
    <a:p>
      <a:pPr>
        <a:defRPr lang="zh-CN">
          <a:latin typeface="Times New Roman" panose="02020603050405020304" charset="0"/>
          <a:cs typeface="Times New Roman" panose="02020603050405020304" charset="0"/>
        </a:defRPr>
      </a:pPr>
      <a:endParaRPr lang="zh-C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lang val="zh-CN"/>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rgbClr val="595959">
                    <a:lumMod val="65000"/>
                    <a:lumOff val="35000"/>
                  </a:srgbClr>
                </a:solidFill>
                <a:latin typeface="Times New Roman" panose="02020603050405020304" charset="0"/>
                <a:ea typeface="+mn-ea"/>
                <a:cs typeface="Times New Roman" panose="02020603050405020304" charset="0"/>
              </a:defRPr>
            </a:pPr>
            <a:r>
              <a:rPr lang="zh-CN" sz="1200" b="1"/>
              <a:t>太仓市工业废水及主要污染物排放量统计图</a:t>
            </a:r>
          </a:p>
        </c:rich>
      </c:tx>
      <c:layout>
        <c:manualLayout>
          <c:xMode val="edge"/>
          <c:yMode val="edge"/>
          <c:x val="0.209222987490963"/>
          <c:y val="0.0337265889007655"/>
        </c:manualLayout>
      </c:layout>
      <c:spPr>
        <a:noFill/>
        <a:ln>
          <a:noFill/>
        </a:ln>
      </c:spPr>
      <c:txPr>
        <a:bodyPr rot="0" spcFirstLastPara="1" vertOverflow="ellipsis" vert="horz" wrap="square" anchor="ctr" anchorCtr="1"/>
        <a:lstStyle/>
        <a:p>
          <a:pPr>
            <a:defRPr lang="zh-CN" sz="1400" b="0" i="0" u="none" strike="noStrike" kern="1200" spc="0" baseline="0">
              <a:solidFill>
                <a:srgbClr val="595959">
                  <a:lumMod val="65000"/>
                  <a:lumOff val="35000"/>
                </a:srgbClr>
              </a:solidFill>
              <a:latin typeface="Times New Roman" panose="02020603050405020304" charset="0"/>
              <a:ea typeface="+mn-ea"/>
              <a:cs typeface="Times New Roman" panose="02020603050405020304" charset="0"/>
            </a:defRPr>
          </a:pPr>
          <a:endParaRPr lang="zh-CN"/>
        </a:p>
      </c:txPr>
    </c:title>
    <c:plotArea>
      <c:barChart>
        <c:barDir val="col"/>
        <c:grouping val="clustered"/>
        <c:varyColors val="0"/>
        <c:ser>
          <c:idx val="0"/>
          <c:order val="0"/>
          <c:tx>
            <c:strRef>
              <c:f>[太仓市环境质量统计表.xlsx]污染物排放!$A$36</c:f>
              <c:strCache>
                <c:ptCount val="1"/>
                <c:pt idx="0">
                  <c:v>工业废水</c:v>
                </c:pt>
              </c:strCache>
            </c:strRef>
          </c:tx>
          <c:spPr>
            <a:solidFill>
              <a:srgbClr val="4F81BD"/>
            </a:solidFill>
            <a:ln>
              <a:noFill/>
            </a:ln>
          </c:spPr>
          <c:cat>
            <c:strRef>
              <c:f>[太仓市环境质量统计表.xlsx]污染物排放!$C$35:$G$35</c:f>
              <c:strCache>
                <c:ptCount val="5"/>
                <c:pt idx="0">
                  <c:v>2016年</c:v>
                </c:pt>
                <c:pt idx="1">
                  <c:v>2017年</c:v>
                </c:pt>
                <c:pt idx="2">
                  <c:v>2018年</c:v>
                </c:pt>
                <c:pt idx="3">
                  <c:v>2019年</c:v>
                </c:pt>
                <c:pt idx="4">
                  <c:v>2020年</c:v>
                </c:pt>
              </c:strCache>
            </c:strRef>
          </c:cat>
          <c:val>
            <c:numRef>
              <c:f>[太仓市环境质量统计表.xlsx]污染物排放!$C$36:$G$36</c:f>
              <c:numCache>
                <c:formatCode>0.00_);[Red]\(0.00\)</c:formatCode>
                <c:ptCount val="5"/>
                <c:pt idx="0">
                  <c:v>4476.14</c:v>
                </c:pt>
                <c:pt idx="1">
                  <c:v>3952.973295</c:v>
                </c:pt>
                <c:pt idx="2">
                  <c:v>3579.92</c:v>
                </c:pt>
                <c:pt idx="3">
                  <c:v>3393.78</c:v>
                </c:pt>
                <c:pt idx="4" formatCode="General">
                  <c:v>3423</c:v>
                </c:pt>
              </c:numCache>
            </c:numRef>
          </c:val>
        </c:ser>
        <c:dLbls>
          <c:showLegendKey val="0"/>
          <c:showVal val="0"/>
          <c:showCatName val="0"/>
          <c:showSerName val="0"/>
          <c:showPercent val="0"/>
          <c:showBubbleSize val="0"/>
        </c:dLbls>
        <c:gapWidth val="150"/>
        <c:axId val="749913688"/>
        <c:axId val="749914472"/>
      </c:barChart>
      <c:lineChart>
        <c:grouping val="standard"/>
        <c:varyColors val="0"/>
        <c:ser>
          <c:idx val="1"/>
          <c:order val="1"/>
          <c:tx>
            <c:strRef>
              <c:f>[太仓市环境质量统计表.xlsx]污染物排放!$A$37</c:f>
              <c:strCache>
                <c:ptCount val="1"/>
                <c:pt idx="0">
                  <c:v>化学需氧量</c:v>
                </c:pt>
              </c:strCache>
            </c:strRef>
          </c:tx>
          <c:spPr>
            <a:ln w="28575" cap="rnd">
              <a:solidFill>
                <a:srgbClr val="C0504D"/>
              </a:solidFill>
              <a:round/>
            </a:ln>
          </c:spPr>
          <c:marker>
            <c:symbol val="none"/>
          </c:marker>
          <c:cat>
            <c:strRef>
              <c:f>[太仓市环境质量统计表.xlsx]污染物排放!$C$35:$G$35</c:f>
              <c:strCache>
                <c:ptCount val="5"/>
                <c:pt idx="0">
                  <c:v>2016年</c:v>
                </c:pt>
                <c:pt idx="1">
                  <c:v>2017年</c:v>
                </c:pt>
                <c:pt idx="2">
                  <c:v>2018年</c:v>
                </c:pt>
                <c:pt idx="3">
                  <c:v>2019年</c:v>
                </c:pt>
                <c:pt idx="4">
                  <c:v>2020年</c:v>
                </c:pt>
              </c:strCache>
            </c:strRef>
          </c:cat>
          <c:val>
            <c:numRef>
              <c:f>[太仓市环境质量统计表.xlsx]污染物排放!$C$37:$G$37</c:f>
              <c:numCache>
                <c:formatCode>0.00_);[Red]\(0.00\)</c:formatCode>
                <c:ptCount val="5"/>
                <c:pt idx="0">
                  <c:v>3360.35</c:v>
                </c:pt>
                <c:pt idx="1">
                  <c:v>2851.9663</c:v>
                </c:pt>
                <c:pt idx="2">
                  <c:v>2733.31</c:v>
                </c:pt>
                <c:pt idx="3">
                  <c:v>2703.01</c:v>
                </c:pt>
                <c:pt idx="4" formatCode="General">
                  <c:v>1639</c:v>
                </c:pt>
              </c:numCache>
            </c:numRef>
          </c:val>
        </c:ser>
        <c:dLbls>
          <c:showLegendKey val="0"/>
          <c:showVal val="0"/>
          <c:showCatName val="0"/>
          <c:showSerName val="0"/>
          <c:showPercent val="0"/>
          <c:showBubbleSize val="0"/>
        </c:dLbls>
        <c:marker val="1"/>
        <c:smooth val="0"/>
        <c:axId val="749913688"/>
        <c:axId val="749914472"/>
      </c:lineChart>
      <c:lineChart>
        <c:grouping val="standard"/>
        <c:varyColors val="0"/>
        <c:ser>
          <c:idx val="2"/>
          <c:order val="2"/>
          <c:tx>
            <c:strRef>
              <c:f>[太仓市环境质量统计表.xlsx]污染物排放!$A$38</c:f>
              <c:strCache>
                <c:ptCount val="1"/>
                <c:pt idx="0">
                  <c:v>氨氮</c:v>
                </c:pt>
              </c:strCache>
            </c:strRef>
          </c:tx>
          <c:spPr>
            <a:ln w="28575" cap="rnd">
              <a:solidFill>
                <a:srgbClr val="9BBB59"/>
              </a:solidFill>
              <a:round/>
            </a:ln>
          </c:spPr>
          <c:marker>
            <c:symbol val="none"/>
          </c:marker>
          <c:cat>
            <c:strRef>
              <c:f>[太仓市环境质量统计表.xlsx]污染物排放!$C$35:$G$35</c:f>
              <c:strCache>
                <c:ptCount val="5"/>
                <c:pt idx="0">
                  <c:v>2016年</c:v>
                </c:pt>
                <c:pt idx="1">
                  <c:v>2017年</c:v>
                </c:pt>
                <c:pt idx="2">
                  <c:v>2018年</c:v>
                </c:pt>
                <c:pt idx="3">
                  <c:v>2019年</c:v>
                </c:pt>
                <c:pt idx="4">
                  <c:v>2020年</c:v>
                </c:pt>
              </c:strCache>
            </c:strRef>
          </c:cat>
          <c:val>
            <c:numRef>
              <c:f>[太仓市环境质量统计表.xlsx]污染物排放!$C$38:$G$38</c:f>
              <c:numCache>
                <c:formatCode>0.00_);[Red]\(0.00\)</c:formatCode>
                <c:ptCount val="5"/>
                <c:pt idx="0">
                  <c:v>272.81</c:v>
                </c:pt>
                <c:pt idx="1">
                  <c:v>232.2889</c:v>
                </c:pt>
                <c:pt idx="2">
                  <c:v>222.43</c:v>
                </c:pt>
                <c:pt idx="3">
                  <c:v>216.06</c:v>
                </c:pt>
                <c:pt idx="4" formatCode="General">
                  <c:v>145</c:v>
                </c:pt>
              </c:numCache>
            </c:numRef>
          </c:val>
        </c:ser>
        <c:ser>
          <c:idx val="3"/>
          <c:order val="3"/>
          <c:tx>
            <c:strRef>
              <c:f>[太仓市环境质量统计表.xlsx]污染物排放!$A$39</c:f>
              <c:strCache>
                <c:ptCount val="1"/>
                <c:pt idx="0">
                  <c:v>总氮</c:v>
                </c:pt>
              </c:strCache>
            </c:strRef>
          </c:tx>
          <c:spPr>
            <a:ln w="28575" cap="rnd">
              <a:solidFill>
                <a:srgbClr val="8064A2"/>
              </a:solidFill>
              <a:round/>
            </a:ln>
          </c:spPr>
          <c:marker>
            <c:symbol val="none"/>
          </c:marker>
          <c:cat>
            <c:strRef>
              <c:f>[太仓市环境质量统计表.xlsx]污染物排放!$C$35:$G$35</c:f>
              <c:strCache>
                <c:ptCount val="5"/>
                <c:pt idx="0">
                  <c:v>2016年</c:v>
                </c:pt>
                <c:pt idx="1">
                  <c:v>2017年</c:v>
                </c:pt>
                <c:pt idx="2">
                  <c:v>2018年</c:v>
                </c:pt>
                <c:pt idx="3">
                  <c:v>2019年</c:v>
                </c:pt>
                <c:pt idx="4">
                  <c:v>2020年</c:v>
                </c:pt>
              </c:strCache>
            </c:strRef>
          </c:cat>
          <c:val>
            <c:numRef>
              <c:f>[太仓市环境质量统计表.xlsx]污染物排放!$C$39:$G$39</c:f>
              <c:numCache>
                <c:formatCode>0.00_);[Red]\(0.00\)</c:formatCode>
                <c:ptCount val="5"/>
                <c:pt idx="0">
                  <c:v>690.79</c:v>
                </c:pt>
                <c:pt idx="1">
                  <c:v>669.1476</c:v>
                </c:pt>
                <c:pt idx="2">
                  <c:v>659.5632</c:v>
                </c:pt>
                <c:pt idx="3">
                  <c:v>655.5275</c:v>
                </c:pt>
                <c:pt idx="4" formatCode="General">
                  <c:v>318</c:v>
                </c:pt>
              </c:numCache>
            </c:numRef>
          </c:val>
        </c:ser>
        <c:ser>
          <c:idx val="4"/>
          <c:order val="4"/>
          <c:tx>
            <c:strRef>
              <c:f>[太仓市环境质量统计表.xlsx]污染物排放!$A$40</c:f>
              <c:strCache>
                <c:ptCount val="1"/>
                <c:pt idx="0">
                  <c:v>总磷</c:v>
                </c:pt>
              </c:strCache>
            </c:strRef>
          </c:tx>
          <c:spPr>
            <a:ln w="28575" cap="rnd">
              <a:solidFill>
                <a:srgbClr val="4BACC6"/>
              </a:solidFill>
              <a:round/>
            </a:ln>
          </c:spPr>
          <c:marker>
            <c:symbol val="none"/>
          </c:marker>
          <c:cat>
            <c:strRef>
              <c:f>[太仓市环境质量统计表.xlsx]污染物排放!$C$35:$G$35</c:f>
              <c:strCache>
                <c:ptCount val="5"/>
                <c:pt idx="0">
                  <c:v>2016年</c:v>
                </c:pt>
                <c:pt idx="1">
                  <c:v>2017年</c:v>
                </c:pt>
                <c:pt idx="2">
                  <c:v>2018年</c:v>
                </c:pt>
                <c:pt idx="3">
                  <c:v>2019年</c:v>
                </c:pt>
                <c:pt idx="4">
                  <c:v>2020年</c:v>
                </c:pt>
              </c:strCache>
            </c:strRef>
          </c:cat>
          <c:val>
            <c:numRef>
              <c:f>[太仓市环境质量统计表.xlsx]污染物排放!$C$40:$G$40</c:f>
              <c:numCache>
                <c:formatCode>0.00_);[Red]\(0.00\)</c:formatCode>
                <c:ptCount val="5"/>
                <c:pt idx="0">
                  <c:v>22.49</c:v>
                </c:pt>
                <c:pt idx="1">
                  <c:v>22.9049</c:v>
                </c:pt>
                <c:pt idx="2">
                  <c:v>21.3651</c:v>
                </c:pt>
                <c:pt idx="3">
                  <c:v>19.7218</c:v>
                </c:pt>
                <c:pt idx="4" formatCode="General">
                  <c:v>13.5</c:v>
                </c:pt>
              </c:numCache>
            </c:numRef>
          </c:val>
        </c:ser>
        <c:ser>
          <c:idx val="5"/>
          <c:order val="5"/>
          <c:tx>
            <c:strRef>
              <c:f>[太仓市环境质量统计表.xlsx]污染物排放!$A$41</c:f>
              <c:strCache>
                <c:ptCount val="1"/>
                <c:pt idx="0">
                  <c:v>石油类</c:v>
                </c:pt>
              </c:strCache>
            </c:strRef>
          </c:tx>
          <c:spPr>
            <a:ln w="28575" cap="rnd">
              <a:solidFill>
                <a:srgbClr val="F79646"/>
              </a:solidFill>
              <a:round/>
            </a:ln>
          </c:spPr>
          <c:marker>
            <c:symbol val="none"/>
          </c:marker>
          <c:cat>
            <c:strRef>
              <c:f>[太仓市环境质量统计表.xlsx]污染物排放!$C$35:$G$35</c:f>
              <c:strCache>
                <c:ptCount val="5"/>
                <c:pt idx="0">
                  <c:v>2016年</c:v>
                </c:pt>
                <c:pt idx="1">
                  <c:v>2017年</c:v>
                </c:pt>
                <c:pt idx="2">
                  <c:v>2018年</c:v>
                </c:pt>
                <c:pt idx="3">
                  <c:v>2019年</c:v>
                </c:pt>
                <c:pt idx="4">
                  <c:v>2020年</c:v>
                </c:pt>
              </c:strCache>
            </c:strRef>
          </c:cat>
          <c:val>
            <c:numRef>
              <c:f>[太仓市环境质量统计表.xlsx]污染物排放!$C$41:$G$41</c:f>
              <c:numCache>
                <c:formatCode>0.00_);[Red]\(0.00\)</c:formatCode>
                <c:ptCount val="5"/>
                <c:pt idx="0">
                  <c:v>0.18</c:v>
                </c:pt>
                <c:pt idx="1">
                  <c:v>3.5491</c:v>
                </c:pt>
                <c:pt idx="2">
                  <c:v>0.98</c:v>
                </c:pt>
                <c:pt idx="3">
                  <c:v>3.13</c:v>
                </c:pt>
                <c:pt idx="4" formatCode="General">
                  <c:v>0.84</c:v>
                </c:pt>
              </c:numCache>
            </c:numRef>
          </c:val>
        </c:ser>
        <c:dLbls>
          <c:showLegendKey val="0"/>
          <c:showVal val="0"/>
          <c:showCatName val="0"/>
          <c:showSerName val="0"/>
          <c:showPercent val="0"/>
          <c:showBubbleSize val="0"/>
        </c:dLbls>
        <c:marker val="1"/>
        <c:smooth val="0"/>
        <c:axId val="749910944"/>
        <c:axId val="749911728"/>
      </c:lineChart>
      <c:catAx>
        <c:axId val="749913688"/>
        <c:scaling>
          <c:orientation val="minMax"/>
        </c:scaling>
        <c:axPos val="b"/>
        <c:numFmt formatCode="General" sourceLinked="1"/>
        <c:majorTickMark val="none"/>
        <c:minorTickMark val="none"/>
        <c:tickLblPos val="nextTo"/>
        <c:spPr>
          <a:noFill/>
          <a:ln w="9525">
            <a:solidFill>
              <a:srgbClr val="D9D9D9">
                <a:lumMod val="15000"/>
                <a:lumOff val="85000"/>
              </a:srgbClr>
            </a:solidFill>
            <a:round/>
          </a:ln>
        </c:spPr>
        <c:txPr>
          <a:bodyPr rot="0" spcFirstLastPara="1" vertOverflow="ellipsis" vert="horz" wrap="square" anchor="ctr" anchorCtr="1"/>
          <a:lstStyle/>
          <a:p>
            <a:pPr>
              <a:defRPr lang="zh-CN" sz="900" b="0" i="0" u="none" strike="noStrike" kern="1200" baseline="0">
                <a:solidFill>
                  <a:srgbClr val="595959">
                    <a:lumMod val="65000"/>
                    <a:lumOff val="35000"/>
                  </a:srgbClr>
                </a:solidFill>
                <a:latin typeface="Times New Roman" panose="02020603050405020304" charset="0"/>
                <a:ea typeface="+mn-ea"/>
                <a:cs typeface="Times New Roman" panose="02020603050405020304" charset="0"/>
              </a:defRPr>
            </a:pPr>
            <a:endParaRPr lang="zh-CN"/>
          </a:p>
        </c:txPr>
        <c:crossAx val="749914472"/>
        <c:crosses val="autoZero"/>
        <c:auto val="1"/>
        <c:lblAlgn val="ctr"/>
        <c:lblOffset val="100"/>
      </c:catAx>
      <c:valAx>
        <c:axId val="749914472"/>
        <c:scaling>
          <c:orientation val="minMax"/>
        </c:scaling>
        <c:axPos val="l"/>
        <c:majorGridlines>
          <c:spPr>
            <a:ln w="9525">
              <a:solidFill>
                <a:srgbClr val="D9D9D9">
                  <a:lumMod val="15000"/>
                  <a:lumOff val="85000"/>
                </a:srgbClr>
              </a:solidFill>
              <a:round/>
            </a:ln>
          </c:spPr>
        </c:majorGridlines>
        <c:title>
          <c:tx>
            <c:rich>
              <a:bodyPr rot="-5400000" spcFirstLastPara="1" vertOverflow="ellipsis" vert="horz" wrap="square" anchor="ctr" anchorCtr="1"/>
              <a:lstStyle/>
              <a:p>
                <a:pPr>
                  <a:defRPr lang="zh-CN" sz="1000" b="0" i="0" u="none" strike="noStrike" kern="1200" baseline="0">
                    <a:solidFill>
                      <a:srgbClr val="595959">
                        <a:lumMod val="65000"/>
                        <a:lumOff val="35000"/>
                      </a:srgbClr>
                    </a:solidFill>
                    <a:latin typeface="Times New Roman" panose="02020603050405020304" charset="0"/>
                    <a:ea typeface="+mn-ea"/>
                    <a:cs typeface="Times New Roman" panose="02020603050405020304" charset="0"/>
                  </a:defRPr>
                </a:pPr>
                <a:r>
                  <a:rPr lang="zh-CN"/>
                  <a:t>工业废水排放量（万吨）</a:t>
                </a:r>
                <a:endParaRPr lang="en-US"/>
              </a:p>
              <a:p>
                <a:pPr>
                  <a:defRPr/>
                </a:pPr>
                <a:r>
                  <a:rPr lang="zh-CN"/>
                  <a:t>及</a:t>
                </a:r>
                <a:r>
                  <a:rPr lang="zh-CN" altLang="en-US"/>
                  <a:t>化学需氧量</a:t>
                </a:r>
                <a:r>
                  <a:rPr lang="zh-CN"/>
                  <a:t>排放量（吨）</a:t>
                </a:r>
              </a:p>
            </c:rich>
          </c:tx>
          <c:spPr>
            <a:noFill/>
            <a:ln>
              <a:noFill/>
            </a:ln>
          </c:spPr>
          <c:txPr>
            <a:bodyPr rot="-5400000" spcFirstLastPara="1" vertOverflow="ellipsis" vert="horz" wrap="square" anchor="ctr" anchorCtr="1"/>
            <a:lstStyle/>
            <a:p>
              <a:pPr>
                <a:defRPr lang="zh-CN" sz="1000" b="0" i="0" u="none" strike="noStrike" kern="1200" baseline="0">
                  <a:solidFill>
                    <a:srgbClr val="595959">
                      <a:lumMod val="65000"/>
                      <a:lumOff val="35000"/>
                    </a:srgbClr>
                  </a:solidFill>
                  <a:latin typeface="Times New Roman" panose="02020603050405020304" charset="0"/>
                  <a:ea typeface="+mn-ea"/>
                  <a:cs typeface="Times New Roman" panose="02020603050405020304" charset="0"/>
                </a:defRPr>
              </a:pPr>
              <a:endParaRPr lang="zh-CN"/>
            </a:p>
          </c:txPr>
        </c:title>
        <c:numFmt formatCode="0.00_);[Red]\(0.00\)" sourceLinked="1"/>
        <c:majorTickMark val="none"/>
        <c:minorTickMark val="none"/>
        <c:tickLblPos val="nextTo"/>
        <c:spPr>
          <a:noFill/>
          <a:ln>
            <a:noFill/>
          </a:ln>
        </c:spPr>
        <c:txPr>
          <a:bodyPr rot="0" spcFirstLastPara="1" vertOverflow="ellipsis" vert="horz" wrap="square" anchor="ctr" anchorCtr="1"/>
          <a:lstStyle/>
          <a:p>
            <a:pPr>
              <a:defRPr lang="zh-CN" sz="900" b="0" i="0" u="none" strike="noStrike" kern="1200" baseline="0">
                <a:solidFill>
                  <a:srgbClr val="595959">
                    <a:lumMod val="65000"/>
                    <a:lumOff val="35000"/>
                  </a:srgbClr>
                </a:solidFill>
                <a:latin typeface="Times New Roman" panose="02020603050405020304" charset="0"/>
                <a:ea typeface="+mn-ea"/>
                <a:cs typeface="Times New Roman" panose="02020603050405020304" charset="0"/>
              </a:defRPr>
            </a:pPr>
            <a:endParaRPr lang="zh-CN"/>
          </a:p>
        </c:txPr>
        <c:crossAx val="749913688"/>
        <c:crosses val="autoZero"/>
        <c:crossBetween val="between"/>
      </c:valAx>
      <c:catAx>
        <c:axId val="749910944"/>
        <c:scaling>
          <c:orientation val="minMax"/>
        </c:scaling>
        <c:delete val="1"/>
        <c:axPos val="b"/>
        <c:numFmt formatCode="General" sourceLinked="1"/>
        <c:majorTickMark val="out"/>
        <c:minorTickMark val="none"/>
        <c:tickLblPos val="nextTo"/>
        <c:crossAx val="749911728"/>
        <c:crosses val="autoZero"/>
        <c:auto val="1"/>
        <c:lblAlgn val="ctr"/>
        <c:lblOffset val="100"/>
      </c:catAx>
      <c:valAx>
        <c:axId val="749911728"/>
        <c:scaling>
          <c:orientation val="minMax"/>
        </c:scaling>
        <c:axPos val="r"/>
        <c:title>
          <c:tx>
            <c:rich>
              <a:bodyPr rot="-5400000" spcFirstLastPara="1" vertOverflow="ellipsis" vert="horz" wrap="square" anchor="ctr" anchorCtr="1"/>
              <a:lstStyle/>
              <a:p>
                <a:pPr>
                  <a:defRPr lang="zh-CN" sz="1000" b="0" i="0" u="none" strike="noStrike" kern="1200" baseline="0">
                    <a:solidFill>
                      <a:srgbClr val="595959">
                        <a:lumMod val="65000"/>
                        <a:lumOff val="35000"/>
                      </a:srgbClr>
                    </a:solidFill>
                    <a:latin typeface="Times New Roman" panose="02020603050405020304" charset="0"/>
                    <a:ea typeface="+mn-ea"/>
                    <a:cs typeface="Times New Roman" panose="02020603050405020304" charset="0"/>
                  </a:defRPr>
                </a:pPr>
                <a:r>
                  <a:rPr lang="zh-CN" altLang="en-US"/>
                  <a:t>氨氮、总氮、总磷及</a:t>
                </a:r>
                <a:r>
                  <a:rPr lang="zh-CN"/>
                  <a:t>石油类排放量（吨）</a:t>
                </a:r>
              </a:p>
            </c:rich>
          </c:tx>
          <c:layout>
            <c:manualLayout>
              <c:xMode val="edge"/>
              <c:yMode val="edge"/>
              <c:x val="0.933141890495425"/>
              <c:y val="0.0910830351274374"/>
            </c:manualLayout>
          </c:layout>
          <c:spPr>
            <a:noFill/>
            <a:ln>
              <a:noFill/>
            </a:ln>
          </c:spPr>
          <c:txPr>
            <a:bodyPr rot="-5400000" spcFirstLastPara="1" vertOverflow="ellipsis" vert="horz" wrap="square" anchor="ctr" anchorCtr="1"/>
            <a:lstStyle/>
            <a:p>
              <a:pPr>
                <a:defRPr lang="zh-CN" sz="1000" b="0" i="0" u="none" strike="noStrike" kern="1200" baseline="0">
                  <a:solidFill>
                    <a:srgbClr val="595959">
                      <a:lumMod val="65000"/>
                      <a:lumOff val="35000"/>
                    </a:srgbClr>
                  </a:solidFill>
                  <a:latin typeface="Times New Roman" panose="02020603050405020304" charset="0"/>
                  <a:ea typeface="+mn-ea"/>
                  <a:cs typeface="Times New Roman" panose="02020603050405020304" charset="0"/>
                </a:defRPr>
              </a:pPr>
              <a:endParaRPr lang="zh-CN"/>
            </a:p>
          </c:txPr>
        </c:title>
        <c:numFmt formatCode="0.00_);[Red]\(0.00\)" sourceLinked="1"/>
        <c:majorTickMark val="out"/>
        <c:minorTickMark val="none"/>
        <c:tickLblPos val="nextTo"/>
        <c:spPr>
          <a:noFill/>
          <a:ln>
            <a:noFill/>
          </a:ln>
        </c:spPr>
        <c:txPr>
          <a:bodyPr rot="0" spcFirstLastPara="1" vertOverflow="ellipsis" vert="horz" wrap="square" anchor="ctr" anchorCtr="1"/>
          <a:lstStyle/>
          <a:p>
            <a:pPr>
              <a:defRPr lang="zh-CN" sz="900" b="0" i="0" u="none" strike="noStrike" kern="1200" baseline="0">
                <a:solidFill>
                  <a:srgbClr val="595959">
                    <a:lumMod val="65000"/>
                    <a:lumOff val="35000"/>
                  </a:srgbClr>
                </a:solidFill>
                <a:latin typeface="Times New Roman" panose="02020603050405020304" charset="0"/>
                <a:ea typeface="+mn-ea"/>
                <a:cs typeface="Times New Roman" panose="02020603050405020304" charset="0"/>
              </a:defRPr>
            </a:pPr>
            <a:endParaRPr lang="zh-CN"/>
          </a:p>
        </c:txPr>
        <c:crossAx val="749910944"/>
        <c:crosses val="max"/>
        <c:crossBetween val="between"/>
      </c:valAx>
      <c:spPr>
        <a:noFill/>
        <a:ln>
          <a:noFill/>
        </a:ln>
      </c:spPr>
    </c:plotArea>
    <c:legend>
      <c:legendPos val="b"/>
      <c:spPr>
        <a:noFill/>
        <a:ln>
          <a:noFill/>
        </a:ln>
      </c:spPr>
      <c:txPr>
        <a:bodyPr rot="0" spcFirstLastPara="1" vertOverflow="ellipsis" vert="horz" wrap="square" anchor="ctr" anchorCtr="1"/>
        <a:lstStyle/>
        <a:p>
          <a:pPr>
            <a:defRPr lang="zh-CN" sz="900" b="0" i="0" u="none" strike="noStrike" kern="1200" baseline="0">
              <a:solidFill>
                <a:srgbClr val="595959">
                  <a:lumMod val="65000"/>
                  <a:lumOff val="35000"/>
                </a:srgbClr>
              </a:solidFill>
              <a:latin typeface="Times New Roman" panose="02020603050405020304" charset="0"/>
              <a:ea typeface="+mn-ea"/>
              <a:cs typeface="Times New Roman" panose="02020603050405020304" charset="0"/>
            </a:defRPr>
          </a:pPr>
          <a:endParaRPr lang="zh-CN"/>
        </a:p>
      </c:txPr>
    </c:legend>
    <c:plotVisOnly val="1"/>
    <c:dispBlanksAs val="gap"/>
  </c:chart>
  <c:spPr>
    <a:solidFill>
      <a:srgbClr val="FFFFFF"/>
    </a:solidFill>
    <a:ln w="9525">
      <a:solidFill>
        <a:srgbClr val="D9D9D9">
          <a:lumMod val="15000"/>
          <a:lumOff val="85000"/>
        </a:srgbClr>
      </a:solidFill>
      <a:round/>
    </a:ln>
  </c:spPr>
  <c:txPr>
    <a:bodyPr/>
    <a:lstStyle/>
    <a:p>
      <a:pPr>
        <a:defRPr lang="zh-CN">
          <a:latin typeface="Times New Roman" panose="02020603050405020304" charset="0"/>
          <a:cs typeface="Times New Roman" panose="02020603050405020304" charset="0"/>
        </a:defRPr>
      </a:pPr>
      <a:endParaRPr lang="zh-CN"/>
    </a:p>
  </c:txPr>
  <c:externalData r:id="rId1">
    <c:autoUpdate val="0"/>
  </c:externalData>
</c:chartSpace>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环保部新的模版格式 - 副本.wpt</Template>
  <TotalTime>158</TotalTime>
  <Pages>96</Pages>
  <Words>7060</Words>
  <Characters>40244</Characters>
  <Application>Microsoft Office Word</Application>
  <DocSecurity>0</DocSecurity>
  <Lines>335</Lines>
  <Paragraphs>94</Paragraphs>
  <ScaleCrop>false</ScaleCrop>
  <Company>HP</Company>
  <LinksUpToDate>false</LinksUpToDate>
  <CharactersWithSpaces>47210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一二三四五六七八九十一二三四五六七八九十一二三四五六七八</dc:title>
  <dc:creator>系统管理员</dc:creator>
  <cp:lastModifiedBy>Administrator</cp:lastModifiedBy>
  <cp:revision>17</cp:revision>
  <cp:lastPrinted>2021-08-16T04:09:00Z</cp:lastPrinted>
  <dcterms:created xsi:type="dcterms:W3CDTF">2021-08-16T04:08:00Z</dcterms:created>
  <dcterms:modified xsi:type="dcterms:W3CDTF">2022-01-07T01:49:00Z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7CBCDB0F8F6A4EF98070E9FE776F056E</vt:lpwstr>
  </property>
  <property fmtid="{D5CDD505-2E9C-101B-9397-08002B2CF9AE}" pid="3" name="KSOProductBuildVer">
    <vt:lpwstr>2052-11.1.0.10578</vt:lpwstr>
  </property>
  <property fmtid="{D5CDD505-2E9C-101B-9397-08002B2CF9AE}" pid="4" name="KSOSaveFontToCloudKey">
    <vt:lpwstr>256759889_btnclosed</vt:lpwstr>
  </property>
</Properties>
</file>