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F20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right="0"/>
        <w:jc w:val="center"/>
        <w:rPr>
          <w:rFonts w:hint="eastAsia" w:ascii="宋体" w:hAnsi="宋体" w:eastAsia="宋体" w:cs="宋体"/>
          <w:b/>
          <w:bCs/>
          <w:i w:val="0"/>
          <w:iCs w:val="0"/>
          <w:caps w:val="0"/>
          <w:color w:val="000000"/>
          <w:spacing w:val="0"/>
          <w:sz w:val="32"/>
          <w:szCs w:val="32"/>
          <w:bdr w:val="none" w:color="auto" w:sz="0" w:space="0"/>
        </w:rPr>
      </w:pPr>
      <w:bookmarkStart w:id="0" w:name="_GoBack"/>
      <w:bookmarkEnd w:id="0"/>
      <w:r>
        <w:rPr>
          <w:rFonts w:hint="eastAsia" w:ascii="宋体" w:hAnsi="宋体" w:eastAsia="宋体" w:cs="宋体"/>
          <w:b/>
          <w:bCs/>
          <w:i w:val="0"/>
          <w:iCs w:val="0"/>
          <w:caps w:val="0"/>
          <w:color w:val="000000"/>
          <w:spacing w:val="0"/>
          <w:sz w:val="32"/>
          <w:szCs w:val="32"/>
          <w:bdr w:val="none" w:color="auto" w:sz="0" w:space="0"/>
        </w:rPr>
        <w:t>2024年常熟市国民经济和社会发展统计公报</w:t>
      </w:r>
    </w:p>
    <w:p w14:paraId="1F0C03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2024年，全市上下坚持以习近平新时代中国特色社会主义思想为指导，全面贯彻党的二十大、二十届二中全会和习近平总书记对江苏、苏州工作重要讲话重要指示精神，坚持稳中求进工作总基调，完整准确全面贯彻新发展理念，服务加快构建新发展格局，全面落实“四个走在前”“四个新”重大任务，扎实推动高质量发展，加快建设更高品质“江南福地”，谱写了经济向高攀登、城市向美而行、民生向暖提质的中国式现代化常熟新篇章。</w:t>
      </w:r>
    </w:p>
    <w:p w14:paraId="7A40B6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一、综合</w:t>
      </w:r>
    </w:p>
    <w:p w14:paraId="657B7B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经济总量再上台阶。全年实现地区生产总值3079.10亿元，比上年增长6.2%。其中：第一产业增加值44.18亿元，比上年增长4.8%；第二产业增加值1544.73亿元，增长7.4%；第三产业增加值1490.19亿元，增长5.0%；三次产业结构比例为1.43：50.17：48.40。按常住人口计算，人均地区生产总值183067元。</w:t>
      </w:r>
    </w:p>
    <w:p w14:paraId="2D0C69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财政收支平稳运行。全年实现一般公共预算收入238.60亿元，比上年增长0.5%。其中，税收收入192.79亿元，比上年下降0.9%。全年实现一般公共预算支出256.63亿元，比上年下降6.1%。</w:t>
      </w:r>
    </w:p>
    <w:p w14:paraId="1A81F9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物价水平基本稳定。全年居民消费价格比上年同期下降0.2%。八大类消费品和服务项目价格二增一平五降，其中医疗保健类价格上涨7.7%，其他用品和服务类价格上涨3.0%，教育文化和娱乐类价格与上年持平，居住类价格下降0.3%，生活用品及服务类价格下降0.9%，衣着类价格下降1.2%，食品烟酒类价格下降1.5%，交通和通信类价格下降2.1%。</w:t>
      </w:r>
    </w:p>
    <w:p w14:paraId="726D11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就业形势稳步改善。全年新增就业人员2.91万人，城镇失业人员就业1.28万人，就业困难人员就业0.17万人。本市籍离校未就业高校毕业生帮扶就业率达91.9%。发放稳岗返还资金1.11亿元，惠及企业2.46万户。</w:t>
      </w:r>
    </w:p>
    <w:p w14:paraId="59448C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二、农业</w:t>
      </w:r>
    </w:p>
    <w:p w14:paraId="4D66EA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农业生产稳中向好。全年粮食总产量24.36万吨，与上年基本持平，其中，夏粮产量7.26万吨，比上年增长2.9%；秋粮产量17.10万吨，下降1.1%；蔬菜及食用菌总产量72.74万吨，增长0.5%。肉类总产量9337吨，比上年下降6.7%；禽蛋产量479吨，下降32.5%。水产品产量26902吨，比上年增长4.0%。</w:t>
      </w:r>
    </w:p>
    <w:p w14:paraId="73975D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现代农业持续推进。全年实施1.38万亩高标准农田提档升级，建成“菜篮子”工程绿色蔬菜保供基地4.36万亩，全市美丽生态牧场建设实现全覆盖，省级农民合作示范社16家，农产品电商销售额近55亿元，获评全国平安农机示范县，承办2024年中国农民丰收节江苏省主场（常熟）活动、全国首届长江十年禁渔技能竞赛。</w:t>
      </w:r>
    </w:p>
    <w:p w14:paraId="643C90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三、工业和建筑业</w:t>
      </w:r>
    </w:p>
    <w:p w14:paraId="6E0A5E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工业生产稳中有进。全年实现规模以上工业总产值4911.37亿元，比上年增长2.8%。按企业规模分，大型企业产值1489.47亿元，占规上工业总产值的比重为30.3%；中型企业产值1423.23亿元，占比29.0%；小微企业产值1998.67亿元，占比40.7%。按注册类型分，内资企业产值2804.73亿元，占规上工业总产值的比重为57.1%；外资及港澳台企业产值2106.64亿元，占比42.9%。</w:t>
      </w:r>
    </w:p>
    <w:p w14:paraId="16DB8B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全市规模以上工业33个行业大类中，有24个行业产值实现增长，占行业总数的72.7%，其中8个行业增速实现两位数增长。前十大行业合计实现产值3926.88亿元，占规上产值的80.0%。</w:t>
      </w:r>
    </w:p>
    <w:p w14:paraId="4157F5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支柱产业基础稳固。全市三大支柱产业规上产值比上年增长1.5%。其中，装备制造产业规上产值1526.99亿元，下降2.7%；汽车及零部件产业规上产值1069.13亿元，增长3.3%；纺织服装产业规上产值572.89亿元，增长10.5%。</w:t>
      </w:r>
    </w:p>
    <w:p w14:paraId="3AD8EE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建筑行业保持平稳。全年资质以上总承包和专业承包建筑业企业实现建筑业总产值243.28亿元，比上年下降1.5%；竣工产值238.89亿元，增长23.9%。资质以上总承包和专业承包建筑业企业房屋施工面积1522.23万平方米，比上年增长1.9%，其中新开工面积452.28万平方米，增长21.1%；房屋竣工面积591.56万平方米，增长33.1%。</w:t>
      </w:r>
    </w:p>
    <w:p w14:paraId="3A3BF9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四、固定资产投资</w:t>
      </w:r>
    </w:p>
    <w:p w14:paraId="10F808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投资需求总体稳定。全年完成固定资产投资609.63亿元，比上年下降3.1%。分行业看，工业投资完成324.24亿元，比上年增长13.5%；服务业投资完成283.38亿元，比上年下降17.3%。分投资主体看，国有投资完成134.25亿元，比上年下降17.6%；港澳台及外商投资完成68.33亿元，下降0.7%；民间投资完成407.06亿元，增长2.4%。</w:t>
      </w:r>
    </w:p>
    <w:p w14:paraId="4BC4B3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投资结构不断优化。全年完成新兴产业投资259.93亿元，比上年增长6.3%，占固定资产投资的比重为42.6%；高技术产业投资128.45亿元，增长5.1%，占固定资产投资的比重为21.1%。</w:t>
      </w:r>
    </w:p>
    <w:p w14:paraId="1EFE11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房产市场持续承压。全年完成房地产开发投资151.07亿元，比上年下降24.3%；房屋施工面积602.51万平方米，下降30.6%。全年实现商品房销售面积127.25万平方米，比上年下降15.2%；销售额145.73亿元，下降20.7%。</w:t>
      </w:r>
    </w:p>
    <w:p w14:paraId="0C7B96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五、国内贸易</w:t>
      </w:r>
    </w:p>
    <w:p w14:paraId="3B4691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消费市场保持升温。全年实现社会消费品零售总额1281.10亿元，比上年增长7.7%。按行业分，批发和零售业零售额1223.88亿元，比上年增长7.7%；住宿和餐饮业零售额57.22亿元，增长6.3%。</w:t>
      </w:r>
    </w:p>
    <w:p w14:paraId="07783D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全年限额以上单位商品零售额中，家用电器和音像器材类增长56.7%，服装、鞋帽、针纺织类增长44.1%，粮油、食品类增长24.3%，饮料类增长22.1%，日用品类增长19.4%，中西药品类增长1.6%，石油及制品类增长1.2%，汽车类下降2.8%。</w:t>
      </w:r>
    </w:p>
    <w:p w14:paraId="35D2D8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六、开放型经济</w:t>
      </w:r>
    </w:p>
    <w:p w14:paraId="13F554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利用外资成果更丰。全年新增注册外资4.71亿美元，其中新设项目66个，注册外资3亿美元；实际使用外资3.56亿美元。</w:t>
      </w:r>
    </w:p>
    <w:p w14:paraId="40CCB7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对外贸易平稳增长。全年实现进出口总额219.91亿美元，比上年增长2.6%。其中，进口59.28亿美元，比上年下降2.4%；出口160.63亿美元，增长4.6%。进出口差额（出口减进口）101.35亿美元，比上年增加8.56亿美元。分进出口方式看，加工贸易进出口34.57亿美元，比上年下降11.0%；一般贸易进出口143.72亿美元，增长4.6%。</w:t>
      </w:r>
    </w:p>
    <w:p w14:paraId="366653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外经外包大步迈进。全年新设及增资境外企业26家，新批中方境外协议投资额13403万美元，历史累计16.72亿美元。全年新签境外劳务及承包工程合同额303万美元，完成营业额1827万美元。全年服务外包接包合同额6.54亿美元，比上年增长35.4%；离岸接包执行额3.31亿美元，比上年增长12.0%。</w:t>
      </w:r>
    </w:p>
    <w:p w14:paraId="171C4C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七、交通、邮电和旅游</w:t>
      </w:r>
    </w:p>
    <w:p w14:paraId="786D80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交通运输快速增长。全年旅客运输量2089.89万人次，比上年增长14.9%；旅客周转量6.87亿人公里，增长1.0%。全年货物运输量2365.29万吨，比上年增长9.4%；货物周转量49.40亿吨公里，增长14.3%。全年常熟港货物吞吐量5960万吨，比上年下降3.9%。其中，外贸货物吞吐量1523万吨，比上年增长11.7%，集装箱吞吐量23.56万标箱，比上年下降18.0%。</w:t>
      </w:r>
    </w:p>
    <w:p w14:paraId="016329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汽车保有量持续增加。年末民用汽车保有量达61万辆，比上年增长3.4%，其中私家车保有量54万辆，增长3.5%。</w:t>
      </w:r>
    </w:p>
    <w:p w14:paraId="2FF880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交通体系更加畅捷。全力配合苏州通用机场前期工作，配套道路工程总体方案已基本稳定。通苏嘉甬铁路项目主体工程全线开工，常熟西站初步设计已获批复。广济路北延、青墩塘快速路全线贯通，完成2024年常熟市国省道一级公路重点路段中央分隔带护栏完善提升工程、G204白茆集镇段市政化提升改造工程；积极推动相石路-任昆路连接线道路工程、2024年农村公路大中修工程开工建设。</w:t>
      </w:r>
    </w:p>
    <w:p w14:paraId="325078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邮电业务小幅增长。全年实现邮电业务总收入39.49亿元，比上年增长2.2%。其中，邮政业务收入11.65亿元，比上年下降3.2%；电信业务收入27.84亿元，增长4.6%。</w:t>
      </w:r>
    </w:p>
    <w:p w14:paraId="58C561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旅游业态不断丰富。A级景区全年接待境内外游客646.28万人次，同比下降1.9%，全年实现旅游收入1.73亿元，同比增长4.5%。继续保持全国县域旅游综合实力百强县第二，虞山文化旅游度假区获评“2023国民休闲旅游度假目的地”，铁琴铜剑楼历史文化街区升级为国家3A级景区，红色沙家浜沉浸式演艺被文旅部授予“2024年全国红色旅游新技术应用优秀案例”。</w:t>
      </w:r>
    </w:p>
    <w:p w14:paraId="773D5C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八、金融、证券和保险业</w:t>
      </w:r>
    </w:p>
    <w:p w14:paraId="54DF0B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金融信贷运行平稳。年末金融机构本外币各项存款余额5722.94亿元，比年初增加269.93亿元，其中人民币存款余额5577.49亿元，增加275.81亿元。年末金融机构本外币各项贷款余额5065.07亿元，比年初增加401.24亿元，其中人民币贷款余额5035.92亿元，增加424.81亿元。</w:t>
      </w:r>
    </w:p>
    <w:p w14:paraId="296D23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证券交易强劲攀升。年末证券交易股票开户总数77.66万户，比上年增长3.8%；全年各证券营业点股票交易额21323.91亿元，增长159.7%。年末证券机构托管股票市值723.80亿元，比上年增长1.9%。</w:t>
      </w:r>
    </w:p>
    <w:p w14:paraId="72718B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保险业务加速增长。全年保险机构实现保费收入92.09亿元，比上年增长15.1%。其中，寿险业务保费收入56.32亿元，增长13.7%；财产险业务保费收入32.07亿元，增长16.8%。全年支付各类赔款及给付31.23亿元，比上年增长21.3%。</w:t>
      </w:r>
    </w:p>
    <w:p w14:paraId="11D64F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九、科学技术和教育</w:t>
      </w:r>
    </w:p>
    <w:p w14:paraId="74182A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创新动能厚积成势。高位谋划产创融合基地建设，推进上海交通大学转化医学国家重大科技基础设施（上海）常熟中心、中国科学院声学研究所重大装备与基础设施集成基地（常熟园区）等重大科创载体建设。获评苏州市级创新联合体8家、新型研发机构1家。全年新增519家规上工业企业建有研发机构，规上工业企业研发机构建有率较上年底提升27.6个百分点。全年备案科技型中小企业1471家，有效高新技术企业达1342家，各级各类瞪羚、独角兽企业突破110家，正力新能入选中国独角兽。全年科招落户项目超过1200项。</w:t>
      </w:r>
    </w:p>
    <w:p w14:paraId="07A0E3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创新成果竞相绽放。2024年，全市专利授权量达10779件，其中发明专利授权量2489件。年末拥有有效发明专利12409件，按常住人口计算，万人发明专利拥有量达73.74件，比上年增加11.71件。</w:t>
      </w:r>
    </w:p>
    <w:p w14:paraId="587275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人才队伍加速集聚。江苏亨通华海科技股份有限公司获批省人才攻关联合体，天辰生物团队获评姑苏重大创新团队，实现姑苏团队“三连进”。2024年末，全市人才总量47.03万人，其中高层次人才4.48万人，高技能人才12.15万人，比上年分别增长4.0%、9.8%、4.2%。</w:t>
      </w:r>
    </w:p>
    <w:p w14:paraId="1CCA3D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教育供给扩面提质。获评首批全国义务教育优质均衡发展县（市、区），“学在常熟，幸福教育”项目获评2024年“苏州十大民心工程”县级市（区）项目。全年竣工新建改扩建学校项目11个、新开工项目2个，学位供需基本平衡。高考成绩持续高位攀升，全市特控线（本一）上线率60.0%，高于全省23个百分点；本科上线率88.0%，高于全省30个百分点。年末拥有各类学校123所，在校学生数18.80万人，毕业生数4.05万人，专任教师1.34万人；拥有幼儿园134所，在园幼儿数3.36万人。</w:t>
      </w:r>
    </w:p>
    <w:p w14:paraId="54C53C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十、文化、卫生和体育</w:t>
      </w:r>
    </w:p>
    <w:p w14:paraId="6B130F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文化事业日益繁荣。成功举办2024常熟虞山文化暨沙家浜旅游节、甲辰龙年新春庙会、文旅消费季、“虞风雅韵——言子文化周”系列活动。年末拥有备案博物馆6个，艺术表演场馆4家，美术馆2个；公共图书馆1个，图书分馆14个、24小时自助图书馆18个、对内流通点47个，特色对外流通点31个，社区（村）图书室350个，网借智能柜9个，网借人工借阅点5个，总流通123.05万人次；文化馆1个，社区综合性文化服务中心114个，村综合性文化服务中心210个，实现全覆盖。</w:t>
      </w:r>
    </w:p>
    <w:p w14:paraId="74A592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卫健事业提质升级。市一院建成三级乙等综合医院，基层医疗机构优化整合全面完成。全系统新增首批江苏省基层慢病筛防中心2个。省级健康镇实现全覆盖。年末拥有各类医疗卫生机构642个，拥有床位11854张。年末拥有卫生技术人员13609人，其中执业医师（助理）5867人，注册护士5771人；乡村医生146人。</w:t>
      </w:r>
    </w:p>
    <w:p w14:paraId="7EBFFF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体育事业活力迸发。举办“常熟村跑”等全民健身赛事，举办铁人三项、尚湖半程马拉松等精品赛事，举办常熟市青少年阳光体育联赛等青少年体育赛事36项次。全年组织全民健身赛事活动69项，参与人次超10万。相继承办中国桨板公开赛（常熟站），全国青少年毽球锦标赛、江苏省国际象棋公开赛（苏州站）等高水平赛事。推动68所学校体育设施向社会开放，年度新增32套健身路径。组队参加上级比赛，获得苏州市级以上竞赛金牌213.5枚、银牌165枚、铜牌170枚，金牌数和奖牌总数较去年分别增长41.4%和26.4%。常熟田径运动员石雨豪入选巴黎奥运会田径队名单。</w:t>
      </w:r>
    </w:p>
    <w:p w14:paraId="6C9D6C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十一、环境保护、节能降耗和安全生产</w:t>
      </w:r>
    </w:p>
    <w:p w14:paraId="4B7557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环境质量有效改善。全年空气质量优良率84.7%，PM2.5平均浓度28.0微克/立方米。国省考重点断面优于Ⅲ类水的比例达到100%，长江干流常熟段水质达到Ⅱ类水标准。全市湿地保护率为57.2%，新增营造林701亩。加快推进“千村美居”工作，累计建成省特色田园乡村14个、苏州特色精品村28个、苏州共享农庄（乡村民宿）13个，苏州市级特色康居示范区11个。</w:t>
      </w:r>
    </w:p>
    <w:p w14:paraId="400D19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资源利用持续提升。完成幸福河湖建设56条。开工建设洪洞水质净化厂二期工程；完成33.8公里污水主管网、消除直排口60个、整治工业企业排水15家、“小散乱”132家；完成1352户生活污水治理，城镇、农村生活污水治理率分别为100%，99.8%。全年盘活存量建设用地7910亩。</w:t>
      </w:r>
    </w:p>
    <w:p w14:paraId="79236B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安全基础更加扎实。安全生产“六化”建设持续深化，一批重点行业领域专项整治纵深推进，打造示范园区16个、示范企业225家，安全生产事故起数和死亡人数实现“双下降”，非亡人事故起数压降10.4%。虞山山洪治理、元和塘治理等重点水利工程顺利竣工，菱塘南村等84处城市易涝点完成微改造，梅雨汛期及历史最强台风“贝碧嘉”影响期间全市安全平稳度汛。</w:t>
      </w:r>
    </w:p>
    <w:p w14:paraId="082C47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十二、人口、人民生活和社会保障</w:t>
      </w:r>
    </w:p>
    <w:p w14:paraId="1A76DD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人口总量基本稳定。年末全市户籍人口104.79万人，比上年末减少0.31万人。全年出生4097人，人口出生率3.90‰；死亡9490人，人口死亡率9.04‰；人口自然增长率为-5.14‰。年末常住人口168.10万人，比上年末减少0.19万人，城镇化率为74.65%，比上年末提高0.36个百分点。</w:t>
      </w:r>
    </w:p>
    <w:p w14:paraId="3E3B3B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居民收入稳步增长。全年城乡居民人均可支配收入75064元，比上年增长4.9%。其中，城镇常住居民人均可支配收入87265元，比上年增长4.7%；农村常住居民人均可支配收入49415元，增长5.6%。全年城乡居民人均生活消费支出46751元，比上年增长4.8%。其中，城镇常住居民人均生活消费支出51428元，比上年增长4.2%；农村常住居民人均生活消费支出36918元，增长6.7%。</w:t>
      </w:r>
    </w:p>
    <w:p w14:paraId="170305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社会保障全面推进。民生支出占一般公共预算支出比重达83.1%。年末城镇职工基本养老保险参保人数（含参保离退休人员）94.47万人，失业保险、工伤保险参保人数分别达49.38万人、56.25万人。年末城乡居民基本养老保险参保人数（含参保退休人员）7.22万人。城乡居民基本医疗保险参保人数32.78万人。居民基本医疗保险（含大病补充医疗保险）人均筹资标准达到1430.76元。城乡低保标准提高至1155元/月，发放各类救助帮扶资金4.4亿元，优租房累计安置244套290人。新增实际缴存住房公积金职工63530人。</w:t>
      </w:r>
    </w:p>
    <w:p w14:paraId="276F1A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养老事业加快升级。全市共有养老机构29家，其中公办1家、民办9家、公建民营19家。全市拥有各类养老床位数达1.37万张，每千名老年人拥有各类养老床位数36张。新增二级养老机构3家。6家养老机构试点推进智慧养老机构建设；建成认知症照护专区6个。263家社区养老服务设施获评等级，等级设施占比达60.9%。新运营综合为老服务中心1家，新增社区老年人日间照料中心7家、示范性乡村互助养老睦邻点6个，全市累计建有社区养老服务设施432家，实现全市各村（社区）动态全覆盖。全市投入运营的老年助餐服务设施67个，日均服务800余人，年内提供助餐近9万份。全年完成老年人家庭适老化改造5993户，累计完成改造12162户。实施特殊困难老年人探访关爱行动，累计探访超2.8万人次。</w:t>
      </w:r>
    </w:p>
    <w:p w14:paraId="6F83DB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br w:type="textWrapping"/>
      </w:r>
      <w:r>
        <w:rPr>
          <w:rFonts w:hint="eastAsia" w:ascii="宋体" w:hAnsi="宋体" w:eastAsia="宋体" w:cs="宋体"/>
          <w:b/>
          <w:bCs/>
          <w:i w:val="0"/>
          <w:iCs w:val="0"/>
          <w:caps w:val="0"/>
          <w:color w:val="000000"/>
          <w:spacing w:val="0"/>
          <w:sz w:val="24"/>
          <w:szCs w:val="24"/>
          <w:bdr w:val="none" w:color="auto" w:sz="0" w:space="0"/>
        </w:rPr>
        <w:t>注释：</w:t>
      </w:r>
    </w:p>
    <w:p w14:paraId="123742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[1]本文中数据均为初步统计数。部分数据因四舍五入的原因，存在着与分项合计不等的情况。</w:t>
      </w:r>
    </w:p>
    <w:p w14:paraId="544082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[2]地区生产总值、各产业增加值和人均地区生产总值绝对数按现价计算，增长速度按不变价格计算。</w:t>
      </w:r>
    </w:p>
    <w:p w14:paraId="25C5B0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[3]新兴产业包括新能源产业，新材料产业，生物技术和新医药产业，节能环保产业，集成电路产业，智能电网和物联网产业，平板显示产业，高端装备制造产业。</w:t>
      </w:r>
    </w:p>
    <w:p w14:paraId="0BA693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[4]高技术制造业包括医药制造业，航空、航天器及设备制造业，电子及通信设备制造业，计算机及办公设备制造业，医疗仪器设备及仪器仪表制造业，信息化学品制造业。</w:t>
      </w:r>
    </w:p>
    <w:p w14:paraId="347341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[5]邮政业务收入统计口径包含邮政（不含邮政储蓄银行直接营业收入）、EMS和规模以上社会快递公司。</w:t>
      </w:r>
    </w:p>
    <w:p w14:paraId="02586E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[6]各类学校统计口径包含新市民子弟学校，幼儿园统计口径包含社会办幼儿园。普通中等专业学校在校学生数只包括普通中专一至三年级。</w:t>
      </w:r>
    </w:p>
    <w:p w14:paraId="7D127A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[7]总流通人次是指本年度内到图书馆场馆接受图书馆服务的总人次，包括借阅书刊、咨询问题以及参加各类读者活动等。</w:t>
      </w:r>
    </w:p>
    <w:p w14:paraId="607F20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[8]常住人口是指实际经常居住在某地区一定时间（半年以上，含半年）的人口。常住人口城镇化率是指一个地区常住于城镇的人口占该地区常住总人口的比重。</w:t>
      </w:r>
    </w:p>
    <w:p w14:paraId="2BA19A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[9]养老床位数统计口径包含机构和社区养老床位数。</w:t>
      </w:r>
    </w:p>
    <w:p w14:paraId="73AB03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 </w:t>
      </w:r>
    </w:p>
    <w:p w14:paraId="660DF9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rPr>
        <w:t>资料来源：</w:t>
      </w:r>
    </w:p>
    <w:p w14:paraId="19F7AE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本文中财政数据来自财政局；人员就业、人才、专业技术人员数据来自人社局和人才办；社会保险数据来自人社局和医保局；现代农业、“千村美居”数据来自农业农村局；绿地、林地面积数据来自自然资源和规划局；开放型经济数据来自商务局；公路运输、水路运输、交通基础设施、港口货物吞吐量数据来自交通局；民用汽车、户籍人口数据来自公安局；邮政业务数据来自邮政局、邮政储蓄银行和EMS；电信业务数据来自移动、联通和电信公司；文化、体育、旅游数据来自文体广电和旅游局；金融、证券数据来自市府办（金融协调服务科）；保险数据来自国金局常熟监管支局；科技创新数据来自科技局；专利数据来自市场监管局；教育数据来自教育局和理工学院；卫生数据来自卫健委；环保、减排数据来自生态环境局；节能数据来自工信局；安全生产数据来自应急管理局；社会救助、社会养老数据来自民政局；保障性住房数据来自住建局；住房公积金数据来自公积金中心；居民收支和居民消费价格总指数数据来自国家统计局常熟调查队。</w:t>
      </w:r>
    </w:p>
    <w:p w14:paraId="1C37B17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3230F"/>
    <w:rsid w:val="13FD2B8A"/>
    <w:rsid w:val="5313230F"/>
    <w:rsid w:val="65256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2025-06-11T04:17:00Z</dcterms:created>
  <dc:creator>Administrator</dc:creator>
  <cp:lastModifiedBy>Administrator</cp:lastModifiedBy>
  <dcterms:modified xsi:type="dcterms:W3CDTF">2025-06-11T04:18:43Z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89D0E0AB6BFB4A3A851BAF7281B4D046_11</vt:lpwstr>
  </property>
  <property fmtid="{D5CDD505-2E9C-101B-9397-08002B2CF9AE}" pid="4" name="KSOTemplateDocerSaveRecord">
    <vt:lpwstr>eyJoZGlkIjoiNjgzY2I3YTgxNzcyZTQ4YWMwNWMxOTBjM2QwMWQ2YjAifQ==</vt:lpwstr>
  </property>
</Properties>
</file>