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Times New Roman"/>
        </w:rPr>
      </w:pPr>
      <w:bookmarkStart w:id="0" w:name="_GoBack"/>
      <w:bookmarkEnd w:id="0"/>
    </w:p>
    <w:p>
      <w:pPr>
        <w:adjustRightInd w:val="0"/>
        <w:snapToGrid w:val="0"/>
        <w:spacing w:line="580" w:lineRule="exact"/>
        <w:jc w:val="center"/>
        <w:rPr>
          <w:rFonts w:hint="eastAsia" w:ascii="Times New Roman" w:eastAsia="方正小标宋简体"/>
          <w:sz w:val="44"/>
        </w:rPr>
      </w:pPr>
      <w:r>
        <w:rPr>
          <w:rFonts w:hint="eastAsia" w:ascii="Times New Roman" w:eastAsia="方正小标宋简体"/>
          <w:sz w:val="44"/>
        </w:rPr>
        <w:t>太仓市2018年政府集中采购目录</w:t>
      </w:r>
    </w:p>
    <w:p>
      <w:pPr>
        <w:adjustRightInd w:val="0"/>
        <w:snapToGrid w:val="0"/>
        <w:spacing w:line="580" w:lineRule="exact"/>
        <w:rPr>
          <w:rFonts w:hint="eastAsia" w:ascii="Times New Roman"/>
        </w:rPr>
      </w:pPr>
    </w:p>
    <w:p>
      <w:pPr>
        <w:adjustRightInd w:val="0"/>
        <w:snapToGrid w:val="0"/>
        <w:spacing w:line="580" w:lineRule="exact"/>
        <w:ind w:firstLine="632" w:firstLineChars="200"/>
        <w:rPr>
          <w:rFonts w:hint="eastAsia" w:ascii="Times New Roman" w:eastAsia="黑体"/>
        </w:rPr>
      </w:pPr>
      <w:r>
        <w:rPr>
          <w:rFonts w:hint="eastAsia" w:ascii="Times New Roman" w:eastAsia="黑体"/>
        </w:rPr>
        <w:t>一、政府集中采购目录及限额标准</w:t>
      </w:r>
    </w:p>
    <w:tbl>
      <w:tblPr>
        <w:tblStyle w:val="5"/>
        <w:tblW w:w="87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1315"/>
        <w:gridCol w:w="1574"/>
        <w:gridCol w:w="655"/>
        <w:gridCol w:w="2754"/>
        <w:gridCol w:w="2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blHeader/>
          <w:jc w:val="center"/>
        </w:trPr>
        <w:tc>
          <w:tcPr>
            <w:tcW w:w="1315" w:type="dxa"/>
            <w:shd w:val="clear" w:color="auto" w:fill="auto"/>
            <w:vAlign w:val="center"/>
          </w:tcPr>
          <w:p>
            <w:pPr>
              <w:widowControl/>
              <w:adjustRightInd w:val="0"/>
              <w:snapToGrid w:val="0"/>
              <w:jc w:val="center"/>
              <w:rPr>
                <w:rFonts w:hint="eastAsia" w:ascii="Times New Roman" w:eastAsia="黑体"/>
                <w:bCs/>
                <w:color w:val="000000"/>
                <w:sz w:val="21"/>
                <w:szCs w:val="21"/>
              </w:rPr>
            </w:pPr>
            <w:r>
              <w:rPr>
                <w:rFonts w:hint="eastAsia" w:ascii="Times New Roman" w:eastAsia="黑体"/>
                <w:bCs/>
                <w:color w:val="000000"/>
                <w:sz w:val="21"/>
                <w:szCs w:val="21"/>
              </w:rPr>
              <w:t>品目编号</w:t>
            </w:r>
          </w:p>
        </w:tc>
        <w:tc>
          <w:tcPr>
            <w:tcW w:w="2229" w:type="dxa"/>
            <w:gridSpan w:val="2"/>
            <w:shd w:val="clear" w:color="auto" w:fill="auto"/>
            <w:vAlign w:val="center"/>
          </w:tcPr>
          <w:p>
            <w:pPr>
              <w:widowControl/>
              <w:adjustRightInd w:val="0"/>
              <w:snapToGrid w:val="0"/>
              <w:jc w:val="center"/>
              <w:rPr>
                <w:rFonts w:hint="eastAsia" w:ascii="Times New Roman" w:eastAsia="黑体"/>
                <w:bCs/>
                <w:color w:val="000000"/>
                <w:sz w:val="21"/>
                <w:szCs w:val="21"/>
              </w:rPr>
            </w:pPr>
            <w:r>
              <w:rPr>
                <w:rFonts w:hint="eastAsia" w:ascii="Times New Roman" w:eastAsia="黑体"/>
                <w:bCs/>
                <w:color w:val="000000"/>
                <w:sz w:val="21"/>
                <w:szCs w:val="21"/>
              </w:rPr>
              <w:t>采购目录</w:t>
            </w:r>
          </w:p>
        </w:tc>
        <w:tc>
          <w:tcPr>
            <w:tcW w:w="2754" w:type="dxa"/>
            <w:shd w:val="clear" w:color="auto" w:fill="auto"/>
            <w:vAlign w:val="center"/>
          </w:tcPr>
          <w:p>
            <w:pPr>
              <w:widowControl/>
              <w:adjustRightInd w:val="0"/>
              <w:snapToGrid w:val="0"/>
              <w:jc w:val="center"/>
              <w:rPr>
                <w:rFonts w:hint="eastAsia" w:ascii="Times New Roman" w:eastAsia="黑体"/>
                <w:bCs/>
                <w:color w:val="000000"/>
                <w:sz w:val="21"/>
                <w:szCs w:val="21"/>
              </w:rPr>
            </w:pPr>
            <w:r>
              <w:rPr>
                <w:rFonts w:hint="eastAsia" w:ascii="Times New Roman" w:eastAsia="黑体"/>
                <w:bCs/>
                <w:color w:val="000000"/>
                <w:sz w:val="21"/>
                <w:szCs w:val="21"/>
              </w:rPr>
              <w:t>备    注</w:t>
            </w:r>
          </w:p>
        </w:tc>
        <w:tc>
          <w:tcPr>
            <w:tcW w:w="2491" w:type="dxa"/>
            <w:shd w:val="clear" w:color="auto" w:fill="auto"/>
            <w:vAlign w:val="center"/>
          </w:tcPr>
          <w:p>
            <w:pPr>
              <w:widowControl/>
              <w:adjustRightInd w:val="0"/>
              <w:snapToGrid w:val="0"/>
              <w:jc w:val="center"/>
              <w:rPr>
                <w:rFonts w:hint="eastAsia" w:ascii="Times New Roman" w:eastAsia="黑体"/>
                <w:bCs/>
                <w:color w:val="000000"/>
                <w:sz w:val="21"/>
                <w:szCs w:val="21"/>
              </w:rPr>
            </w:pPr>
            <w:r>
              <w:rPr>
                <w:rFonts w:hint="eastAsia" w:ascii="Times New Roman" w:eastAsia="黑体"/>
                <w:bCs/>
                <w:color w:val="000000"/>
                <w:sz w:val="21"/>
                <w:szCs w:val="21"/>
              </w:rPr>
              <w:t>起点金额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8789" w:type="dxa"/>
            <w:gridSpan w:val="5"/>
            <w:shd w:val="clear" w:color="auto" w:fill="auto"/>
            <w:vAlign w:val="center"/>
          </w:tcPr>
          <w:p>
            <w:pPr>
              <w:widowControl/>
              <w:adjustRightInd w:val="0"/>
              <w:snapToGrid w:val="0"/>
              <w:rPr>
                <w:rFonts w:hint="eastAsia" w:ascii="Times New Roman" w:eastAsia="黑体"/>
                <w:bCs/>
                <w:color w:val="000000"/>
                <w:sz w:val="21"/>
                <w:szCs w:val="21"/>
              </w:rPr>
            </w:pPr>
            <w:r>
              <w:rPr>
                <w:rFonts w:hint="eastAsia" w:ascii="Times New Roman" w:eastAsia="黑体"/>
                <w:bCs/>
                <w:color w:val="000000"/>
                <w:sz w:val="21"/>
                <w:szCs w:val="21"/>
              </w:rPr>
              <w:t>（一）政府集中采购目录及政府采购起点金额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货物</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bCs/>
                <w:color w:val="000000"/>
                <w:sz w:val="21"/>
                <w:szCs w:val="21"/>
              </w:rPr>
            </w:pPr>
            <w:r>
              <w:rPr>
                <w:rFonts w:hint="eastAsia" w:ascii="Times New Roman" w:eastAsia="宋体"/>
                <w:bCs/>
                <w:color w:val="000000"/>
                <w:sz w:val="21"/>
                <w:szCs w:val="21"/>
              </w:rPr>
              <w:t>A02</w:t>
            </w:r>
          </w:p>
        </w:tc>
        <w:tc>
          <w:tcPr>
            <w:tcW w:w="2229" w:type="dxa"/>
            <w:gridSpan w:val="2"/>
            <w:shd w:val="clear" w:color="auto" w:fill="auto"/>
            <w:vAlign w:val="center"/>
          </w:tcPr>
          <w:p>
            <w:pPr>
              <w:widowControl/>
              <w:adjustRightInd w:val="0"/>
              <w:snapToGrid w:val="0"/>
              <w:jc w:val="center"/>
              <w:rPr>
                <w:rFonts w:hint="eastAsia" w:ascii="Times New Roman" w:eastAsia="宋体"/>
                <w:bCs/>
                <w:color w:val="000000"/>
                <w:sz w:val="21"/>
                <w:szCs w:val="21"/>
              </w:rPr>
            </w:pPr>
            <w:r>
              <w:rPr>
                <w:rFonts w:hint="eastAsia" w:ascii="Times New Roman" w:eastAsia="宋体"/>
                <w:bCs/>
                <w:color w:val="000000"/>
                <w:sz w:val="21"/>
                <w:szCs w:val="21"/>
              </w:rPr>
              <w:t>通用设备</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bCs/>
                <w:color w:val="000000"/>
                <w:sz w:val="21"/>
                <w:szCs w:val="21"/>
              </w:rPr>
            </w:pPr>
            <w:r>
              <w:rPr>
                <w:rFonts w:hint="eastAsia" w:ascii="Times New Roman" w:eastAsia="宋体"/>
                <w:bCs/>
                <w:color w:val="000000"/>
                <w:sz w:val="21"/>
                <w:szCs w:val="21"/>
              </w:rPr>
              <w:t>A0201</w:t>
            </w:r>
          </w:p>
        </w:tc>
        <w:tc>
          <w:tcPr>
            <w:tcW w:w="2229" w:type="dxa"/>
            <w:gridSpan w:val="2"/>
            <w:shd w:val="clear" w:color="auto" w:fill="auto"/>
            <w:vAlign w:val="center"/>
          </w:tcPr>
          <w:p>
            <w:pPr>
              <w:widowControl/>
              <w:adjustRightInd w:val="0"/>
              <w:snapToGrid w:val="0"/>
              <w:jc w:val="center"/>
              <w:rPr>
                <w:rFonts w:hint="eastAsia" w:ascii="Times New Roman" w:eastAsia="宋体"/>
                <w:bCs/>
                <w:color w:val="000000"/>
                <w:sz w:val="21"/>
                <w:szCs w:val="21"/>
              </w:rPr>
            </w:pPr>
            <w:r>
              <w:rPr>
                <w:rFonts w:hint="eastAsia" w:ascii="Times New Roman" w:eastAsia="宋体"/>
                <w:bCs/>
                <w:color w:val="000000"/>
                <w:sz w:val="21"/>
                <w:szCs w:val="21"/>
              </w:rPr>
              <w:t>计算机设备及软件</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191"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A02010103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服务器</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shd w:val="clear" w:color="auto" w:fill="auto"/>
            <w:vAlign w:val="center"/>
          </w:tcPr>
          <w:p>
            <w:pPr>
              <w:pStyle w:val="3"/>
              <w:adjustRightInd w:val="0"/>
              <w:snapToGrid w:val="0"/>
              <w:spacing w:before="0" w:beforeAutospacing="0" w:after="0" w:afterAutospacing="0"/>
              <w:textAlignment w:val="center"/>
              <w:rPr>
                <w:rFonts w:hint="eastAsia" w:ascii="Times New Roman" w:hAnsi="Times New Roman"/>
                <w:color w:val="000000"/>
              </w:rPr>
            </w:pPr>
            <w:r>
              <w:rPr>
                <w:rFonts w:hint="eastAsia" w:ascii="Times New Roman" w:hAnsi="Times New Roman"/>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A02010104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台式计算机</w:t>
            </w:r>
          </w:p>
        </w:tc>
        <w:tc>
          <w:tcPr>
            <w:tcW w:w="2754" w:type="dxa"/>
            <w:shd w:val="clear" w:color="auto" w:fill="auto"/>
            <w:vAlign w:val="bottom"/>
          </w:tcPr>
          <w:p>
            <w:pPr>
              <w:widowControl/>
              <w:adjustRightInd w:val="0"/>
              <w:snapToGrid w:val="0"/>
              <w:jc w:val="left"/>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vMerge w:val="restart"/>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sz w:val="21"/>
                <w:szCs w:val="21"/>
              </w:rPr>
              <w:t>实行协议供货，单项或批量5万元及以上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A02010105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便携式计算机</w:t>
            </w:r>
          </w:p>
        </w:tc>
        <w:tc>
          <w:tcPr>
            <w:tcW w:w="2754" w:type="dxa"/>
            <w:shd w:val="clear" w:color="auto" w:fill="auto"/>
            <w:vAlign w:val="bottom"/>
          </w:tcPr>
          <w:p>
            <w:pPr>
              <w:widowControl/>
              <w:adjustRightInd w:val="0"/>
              <w:snapToGrid w:val="0"/>
              <w:jc w:val="left"/>
              <w:rPr>
                <w:rFonts w:hint="eastAsia" w:ascii="Times New Roman" w:eastAsia="宋体"/>
                <w:color w:val="000000"/>
                <w:sz w:val="21"/>
                <w:szCs w:val="21"/>
              </w:rPr>
            </w:pPr>
            <w:r>
              <w:rPr>
                <w:rFonts w:hint="eastAsia" w:ascii="Times New Roman" w:eastAsia="宋体"/>
                <w:color w:val="000000"/>
                <w:sz w:val="21"/>
                <w:szCs w:val="21"/>
              </w:rPr>
              <w:t>　</w:t>
            </w:r>
          </w:p>
        </w:tc>
        <w:tc>
          <w:tcPr>
            <w:tcW w:w="2491" w:type="dxa"/>
            <w:vMerge w:val="continue"/>
            <w:shd w:val="clear" w:color="auto" w:fill="auto"/>
            <w:vAlign w:val="center"/>
          </w:tcPr>
          <w:p>
            <w:pPr>
              <w:widowControl/>
              <w:adjustRightInd w:val="0"/>
              <w:snapToGrid w:val="0"/>
              <w:rPr>
                <w:rFonts w:hint="eastAsia" w:ascii="Times New Roman"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vMerge w:val="restart"/>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A020102</w:t>
            </w:r>
          </w:p>
        </w:tc>
        <w:tc>
          <w:tcPr>
            <w:tcW w:w="2229" w:type="dxa"/>
            <w:gridSpan w:val="2"/>
            <w:vMerge w:val="restart"/>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计算机网络设备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路由器、交换机</w:t>
            </w:r>
          </w:p>
        </w:tc>
        <w:tc>
          <w:tcPr>
            <w:tcW w:w="2491" w:type="dxa"/>
            <w:vMerge w:val="restart"/>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color w:val="000000"/>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37" w:hRule="atLeast"/>
          <w:jc w:val="center"/>
        </w:trPr>
        <w:tc>
          <w:tcPr>
            <w:tcW w:w="1315" w:type="dxa"/>
            <w:vMerge w:val="continue"/>
            <w:shd w:val="clear" w:color="auto" w:fill="auto"/>
            <w:vAlign w:val="center"/>
          </w:tcPr>
          <w:p>
            <w:pPr>
              <w:widowControl/>
              <w:adjustRightInd w:val="0"/>
              <w:snapToGrid w:val="0"/>
              <w:jc w:val="center"/>
              <w:rPr>
                <w:rFonts w:hint="eastAsia" w:ascii="Times New Roman" w:eastAsia="宋体"/>
                <w:sz w:val="21"/>
                <w:szCs w:val="21"/>
              </w:rPr>
            </w:pPr>
          </w:p>
        </w:tc>
        <w:tc>
          <w:tcPr>
            <w:tcW w:w="2229" w:type="dxa"/>
            <w:gridSpan w:val="2"/>
            <w:vMerge w:val="continue"/>
            <w:shd w:val="clear" w:color="auto" w:fill="auto"/>
            <w:vAlign w:val="center"/>
          </w:tcPr>
          <w:p>
            <w:pPr>
              <w:widowControl/>
              <w:adjustRightInd w:val="0"/>
              <w:snapToGrid w:val="0"/>
              <w:jc w:val="center"/>
              <w:rPr>
                <w:rFonts w:hint="eastAsia" w:ascii="Times New Roman" w:eastAsia="宋体"/>
                <w:sz w:val="21"/>
                <w:szCs w:val="21"/>
              </w:rPr>
            </w:pP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除路由器、交换机外的网络设备</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信息安全设备</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sz w:val="21"/>
                <w:szCs w:val="21"/>
              </w:rPr>
              <w:t>防火墙</w:t>
            </w:r>
          </w:p>
        </w:tc>
        <w:tc>
          <w:tcPr>
            <w:tcW w:w="2491" w:type="dxa"/>
            <w:vMerge w:val="continue"/>
            <w:shd w:val="clear" w:color="auto" w:fill="auto"/>
            <w:vAlign w:val="bottom"/>
          </w:tcPr>
          <w:p>
            <w:pPr>
              <w:widowControl/>
              <w:adjustRightInd w:val="0"/>
              <w:snapToGrid w:val="0"/>
              <w:jc w:val="left"/>
              <w:rPr>
                <w:rFonts w:hint="eastAsia" w:ascii="Times New Roman"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存储设备</w:t>
            </w:r>
          </w:p>
        </w:tc>
        <w:tc>
          <w:tcPr>
            <w:tcW w:w="2754"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包括移动硬盘、U盘、数码相机伴侣、小型数码录音设备等</w:t>
            </w:r>
          </w:p>
        </w:tc>
        <w:tc>
          <w:tcPr>
            <w:tcW w:w="2491" w:type="dxa"/>
            <w:vMerge w:val="continue"/>
            <w:shd w:val="clear" w:color="auto" w:fill="auto"/>
            <w:vAlign w:val="center"/>
          </w:tcPr>
          <w:p>
            <w:pPr>
              <w:widowControl/>
              <w:adjustRightInd w:val="0"/>
              <w:snapToGrid w:val="0"/>
              <w:rPr>
                <w:rFonts w:hint="eastAsia" w:ascii="Times New Roman"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A02010601</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打印设备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喷墨打印机、激光打印机、针式打印机</w:t>
            </w:r>
          </w:p>
        </w:tc>
        <w:tc>
          <w:tcPr>
            <w:tcW w:w="2491" w:type="dxa"/>
            <w:shd w:val="clear" w:color="auto" w:fill="auto"/>
            <w:vAlign w:val="center"/>
          </w:tcPr>
          <w:p>
            <w:pPr>
              <w:widowControl/>
              <w:adjustRightInd w:val="0"/>
              <w:snapToGrid w:val="0"/>
              <w:rPr>
                <w:rFonts w:hint="eastAsia" w:ascii="Times New Roman" w:eastAsia="宋体"/>
                <w:color w:val="000000"/>
                <w:sz w:val="21"/>
                <w:szCs w:val="21"/>
              </w:rPr>
            </w:pPr>
            <w:r>
              <w:rPr>
                <w:rFonts w:hint="eastAsia" w:ascii="Times New Roman" w:eastAsia="宋体"/>
                <w:sz w:val="21"/>
                <w:szCs w:val="21"/>
              </w:rPr>
              <w:t>实行协议供货，单项或批量5万元及以上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A02010604</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显示设备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指显示器</w:t>
            </w:r>
          </w:p>
        </w:tc>
        <w:tc>
          <w:tcPr>
            <w:tcW w:w="2491" w:type="dxa"/>
            <w:vMerge w:val="restart"/>
            <w:vAlign w:val="center"/>
          </w:tcPr>
          <w:p>
            <w:pPr>
              <w:widowControl/>
              <w:adjustRightInd w:val="0"/>
              <w:snapToGrid w:val="0"/>
              <w:rPr>
                <w:rFonts w:hint="eastAsia" w:ascii="Times New Roman" w:eastAsia="宋体"/>
                <w:color w:val="000000"/>
                <w:sz w:val="21"/>
                <w:szCs w:val="21"/>
              </w:rPr>
            </w:pPr>
            <w:r>
              <w:rPr>
                <w:rFonts w:hint="eastAsia" w:ascii="Times New Roman" w:eastAsia="宋体"/>
                <w:color w:val="000000"/>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A02010607</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一般输入设备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键盘、鼠标等</w:t>
            </w:r>
          </w:p>
        </w:tc>
        <w:tc>
          <w:tcPr>
            <w:tcW w:w="2491" w:type="dxa"/>
            <w:vMerge w:val="continue"/>
            <w:shd w:val="clear" w:color="auto" w:fill="auto"/>
            <w:vAlign w:val="center"/>
          </w:tcPr>
          <w:p>
            <w:pPr>
              <w:widowControl/>
              <w:adjustRightInd w:val="0"/>
              <w:snapToGrid w:val="0"/>
              <w:rPr>
                <w:rFonts w:hint="eastAsia" w:ascii="Times New Roman"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A02010609</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图形图像输入设备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扫描仪</w:t>
            </w:r>
          </w:p>
        </w:tc>
        <w:tc>
          <w:tcPr>
            <w:tcW w:w="2491" w:type="dxa"/>
            <w:vMerge w:val="continue"/>
            <w:shd w:val="clear" w:color="auto" w:fill="auto"/>
            <w:vAlign w:val="center"/>
          </w:tcPr>
          <w:p>
            <w:pPr>
              <w:widowControl/>
              <w:adjustRightInd w:val="0"/>
              <w:snapToGrid w:val="0"/>
              <w:rPr>
                <w:rFonts w:hint="eastAsia" w:ascii="Times New Roman"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680"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A020108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计算机软件</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基础软件、支撑软件、应用软件、信息安全软件等通用软件</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A020109</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计算机设备零部件</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刻录机、内存条、摄像头等</w:t>
            </w:r>
          </w:p>
        </w:tc>
        <w:tc>
          <w:tcPr>
            <w:tcW w:w="2491" w:type="dxa"/>
            <w:vMerge w:val="continue"/>
            <w:shd w:val="clear" w:color="auto" w:fill="auto"/>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bCs/>
                <w:sz w:val="21"/>
                <w:szCs w:val="21"/>
              </w:rPr>
            </w:pPr>
            <w:r>
              <w:rPr>
                <w:rFonts w:hint="eastAsia" w:ascii="Times New Roman" w:eastAsia="宋体"/>
                <w:bCs/>
                <w:sz w:val="21"/>
                <w:szCs w:val="21"/>
              </w:rPr>
              <w:t>A0202</w:t>
            </w:r>
          </w:p>
        </w:tc>
        <w:tc>
          <w:tcPr>
            <w:tcW w:w="2229" w:type="dxa"/>
            <w:gridSpan w:val="2"/>
            <w:shd w:val="clear" w:color="auto" w:fill="auto"/>
            <w:vAlign w:val="center"/>
          </w:tcPr>
          <w:p>
            <w:pPr>
              <w:widowControl/>
              <w:adjustRightInd w:val="0"/>
              <w:snapToGrid w:val="0"/>
              <w:jc w:val="center"/>
              <w:rPr>
                <w:rFonts w:hint="eastAsia" w:ascii="Times New Roman" w:eastAsia="宋体"/>
                <w:bCs/>
                <w:sz w:val="21"/>
                <w:szCs w:val="21"/>
              </w:rPr>
            </w:pPr>
            <w:r>
              <w:rPr>
                <w:rFonts w:hint="eastAsia" w:ascii="Times New Roman" w:eastAsia="宋体"/>
                <w:bCs/>
                <w:sz w:val="21"/>
                <w:szCs w:val="21"/>
              </w:rPr>
              <w:t>办公设备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A020201</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复印机</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restart"/>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实行协议供货，单项或批量5万元及以上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A020202</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投影仪</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077"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A020204</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多功能一体机</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具有多种办公功能的设备入此，例如带有打印功能的复印机等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实行协议供货，单项或批量5万元及以上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A020205</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照相机及器材</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restart"/>
            <w:shd w:val="clear" w:color="auto" w:fill="auto"/>
            <w:vAlign w:val="center"/>
          </w:tcPr>
          <w:p>
            <w:pPr>
              <w:adjustRightInd w:val="0"/>
              <w:snapToGrid w:val="0"/>
              <w:rPr>
                <w:rFonts w:hint="eastAsia" w:ascii="Times New Roman" w:eastAsia="宋体"/>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A020206</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电子白板</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37"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A020207</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LED显示屏</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包括单基色显示屏、双基色显示屏、全彩色显示屏等</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A020208</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触控一体机</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A020209</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刻录机</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37"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A020210</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文印设备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包括装订机、配页机、油印机等</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A02021001</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速印机</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实行协议供货，单次采购金额5万元及以上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13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A020211</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销毁设备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包括碎纸机、光盘粉碎机等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bCs/>
                <w:sz w:val="21"/>
                <w:szCs w:val="21"/>
              </w:rPr>
            </w:pPr>
            <w:r>
              <w:rPr>
                <w:rFonts w:hint="eastAsia" w:ascii="Times New Roman" w:eastAsia="宋体"/>
                <w:bCs/>
                <w:sz w:val="21"/>
                <w:szCs w:val="21"/>
              </w:rPr>
              <w:t>A0203</w:t>
            </w:r>
          </w:p>
        </w:tc>
        <w:tc>
          <w:tcPr>
            <w:tcW w:w="2229" w:type="dxa"/>
            <w:gridSpan w:val="2"/>
            <w:shd w:val="clear" w:color="auto" w:fill="auto"/>
            <w:vAlign w:val="center"/>
          </w:tcPr>
          <w:p>
            <w:pPr>
              <w:widowControl/>
              <w:adjustRightInd w:val="0"/>
              <w:snapToGrid w:val="0"/>
              <w:jc w:val="center"/>
              <w:rPr>
                <w:rFonts w:hint="eastAsia" w:ascii="Times New Roman" w:eastAsia="宋体"/>
                <w:bCs/>
                <w:sz w:val="21"/>
                <w:szCs w:val="21"/>
              </w:rPr>
            </w:pPr>
            <w:r>
              <w:rPr>
                <w:rFonts w:hint="eastAsia" w:ascii="Times New Roman" w:eastAsia="宋体"/>
                <w:bCs/>
                <w:sz w:val="21"/>
                <w:szCs w:val="21"/>
              </w:rPr>
              <w:t>车辆</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13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A020305</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乘用车</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包括驾驶员座位在内不超过9座（含9座）轿车、越野车、商务车等</w:t>
            </w:r>
          </w:p>
        </w:tc>
        <w:tc>
          <w:tcPr>
            <w:tcW w:w="2491" w:type="dxa"/>
            <w:vMerge w:val="restart"/>
            <w:shd w:val="clear" w:color="auto" w:fill="auto"/>
            <w:vAlign w:val="center"/>
          </w:tcPr>
          <w:p>
            <w:pPr>
              <w:adjustRightInd w:val="0"/>
              <w:snapToGrid w:val="0"/>
              <w:rPr>
                <w:rFonts w:hint="eastAsia" w:ascii="Times New Roman" w:eastAsia="宋体"/>
                <w:sz w:val="21"/>
                <w:szCs w:val="21"/>
              </w:rPr>
            </w:pPr>
            <w:r>
              <w:rPr>
                <w:rFonts w:hint="eastAsia" w:ascii="Times New Roman" w:eastAsia="宋体"/>
                <w:sz w:val="21"/>
                <w:szCs w:val="21"/>
              </w:rPr>
              <w:t>实行协议供货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850"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A020306</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客车</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除驾驶员座位外，座位数超过9座</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47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A020307</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专用车辆</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xml:space="preserve">包括工程车、工具车、卡车、消防车、警车、救护车、通讯和广播用车、洒水车、道路清扫车、垃圾车、其他专用汽车  </w:t>
            </w:r>
          </w:p>
        </w:tc>
        <w:tc>
          <w:tcPr>
            <w:tcW w:w="2491" w:type="dxa"/>
            <w:vMerge w:val="restart"/>
            <w:shd w:val="clear" w:color="auto" w:fill="auto"/>
            <w:vAlign w:val="center"/>
          </w:tcPr>
          <w:p>
            <w:pPr>
              <w:adjustRightInd w:val="0"/>
              <w:snapToGrid w:val="0"/>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A020309</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摩托车</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A020310</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电动自行车</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A0204</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图书档案设备</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96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A020401</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图书档案装具</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包括固定架、密集架、案卷柜、卡片柜、档案卷盒等</w:t>
            </w:r>
          </w:p>
        </w:tc>
        <w:tc>
          <w:tcPr>
            <w:tcW w:w="2491" w:type="dxa"/>
            <w:vMerge w:val="restart"/>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96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A020402</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缩微设备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包括冲洗机、拷贝机、阅读复印机等</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A0205</w:t>
            </w:r>
          </w:p>
        </w:tc>
        <w:tc>
          <w:tcPr>
            <w:tcW w:w="2229" w:type="dxa"/>
            <w:gridSpan w:val="2"/>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机械设备</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A020504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锅炉</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A020512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起重设备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电梯、起重机</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850"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A02052305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空调机组</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含中央空调、多联式、一拖多式空调机组</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电气设备</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A02061504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电源设备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不间断电源等</w:t>
            </w: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A02061801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制冷电器</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电冰箱、冷藏柜等</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A02061802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空气调节电器</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A0206180202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空调机</w:t>
            </w:r>
          </w:p>
        </w:tc>
        <w:tc>
          <w:tcPr>
            <w:tcW w:w="2754" w:type="dxa"/>
            <w:shd w:val="clear" w:color="auto" w:fill="auto"/>
            <w:vAlign w:val="center"/>
          </w:tcPr>
          <w:p>
            <w:pPr>
              <w:widowControl/>
              <w:adjustRightInd w:val="0"/>
              <w:snapToGrid w:val="0"/>
              <w:rPr>
                <w:rFonts w:hint="eastAsia" w:ascii="Times New Roman" w:eastAsia="宋体"/>
                <w:bCs/>
                <w:sz w:val="21"/>
                <w:szCs w:val="21"/>
              </w:rPr>
            </w:pPr>
          </w:p>
        </w:tc>
        <w:tc>
          <w:tcPr>
            <w:tcW w:w="2491" w:type="dxa"/>
            <w:vMerge w:val="restart"/>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A0206180205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空气净化设备</w:t>
            </w:r>
          </w:p>
        </w:tc>
        <w:tc>
          <w:tcPr>
            <w:tcW w:w="2754" w:type="dxa"/>
            <w:shd w:val="clear" w:color="auto" w:fill="auto"/>
            <w:vAlign w:val="center"/>
          </w:tcPr>
          <w:p>
            <w:pPr>
              <w:widowControl/>
              <w:adjustRightInd w:val="0"/>
              <w:snapToGrid w:val="0"/>
              <w:rPr>
                <w:rFonts w:hint="eastAsia" w:ascii="Times New Roman" w:eastAsia="宋体"/>
                <w:bCs/>
                <w:sz w:val="21"/>
                <w:szCs w:val="21"/>
              </w:rPr>
            </w:pPr>
          </w:p>
        </w:tc>
        <w:tc>
          <w:tcPr>
            <w:tcW w:w="2491" w:type="dxa"/>
            <w:vMerge w:val="continue"/>
            <w:shd w:val="clear" w:color="auto" w:fill="auto"/>
            <w:vAlign w:val="center"/>
          </w:tcPr>
          <w:p>
            <w:pPr>
              <w:widowControl/>
              <w:adjustRightInd w:val="0"/>
              <w:snapToGrid w:val="0"/>
              <w:rPr>
                <w:rFonts w:hint="eastAsia" w:ascii="Times New Roman"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通信设备</w:t>
            </w:r>
          </w:p>
        </w:tc>
        <w:tc>
          <w:tcPr>
            <w:tcW w:w="2754" w:type="dxa"/>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bCs/>
                <w:sz w:val="21"/>
                <w:szCs w:val="21"/>
              </w:rPr>
              <w:t>　</w:t>
            </w:r>
          </w:p>
        </w:tc>
        <w:tc>
          <w:tcPr>
            <w:tcW w:w="2491" w:type="dxa"/>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bCs/>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A020807</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电话通信设备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电话机等</w:t>
            </w:r>
          </w:p>
        </w:tc>
        <w:tc>
          <w:tcPr>
            <w:tcW w:w="2491" w:type="dxa"/>
            <w:vMerge w:val="restart"/>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A020808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视频会议系统设备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bottom"/>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A02081001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传真通信设备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传真机等</w:t>
            </w:r>
          </w:p>
        </w:tc>
        <w:tc>
          <w:tcPr>
            <w:tcW w:w="2491" w:type="dxa"/>
            <w:vMerge w:val="continue"/>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广播、电视、电影设备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A02091001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普通电视设备（电视机）</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单次采购金额5万元及以上，年累计采购金额20万元及以上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vMerge w:val="restart"/>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A02091102</w:t>
            </w:r>
          </w:p>
        </w:tc>
        <w:tc>
          <w:tcPr>
            <w:tcW w:w="2229" w:type="dxa"/>
            <w:gridSpan w:val="2"/>
            <w:vMerge w:val="restart"/>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通用摄像机</w:t>
            </w:r>
          </w:p>
        </w:tc>
        <w:tc>
          <w:tcPr>
            <w:tcW w:w="2754" w:type="dxa"/>
            <w:shd w:val="clear" w:color="auto" w:fill="auto"/>
            <w:vAlign w:val="center"/>
          </w:tcPr>
          <w:p>
            <w:pPr>
              <w:adjustRightInd w:val="0"/>
              <w:snapToGrid w:val="0"/>
              <w:rPr>
                <w:rFonts w:hint="eastAsia" w:ascii="Times New Roman" w:eastAsia="宋体"/>
                <w:sz w:val="21"/>
                <w:szCs w:val="21"/>
              </w:rPr>
            </w:pPr>
            <w:r>
              <w:rPr>
                <w:rFonts w:hint="eastAsia" w:ascii="Times New Roman" w:eastAsia="宋体"/>
                <w:sz w:val="21"/>
                <w:szCs w:val="21"/>
              </w:rPr>
              <w:t>数码摄像机</w:t>
            </w:r>
          </w:p>
        </w:tc>
        <w:tc>
          <w:tcPr>
            <w:tcW w:w="2491" w:type="dxa"/>
            <w:vMerge w:val="continue"/>
            <w:shd w:val="clear" w:color="auto" w:fill="auto"/>
            <w:vAlign w:val="top"/>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vMerge w:val="continue"/>
            <w:shd w:val="clear" w:color="auto" w:fill="auto"/>
            <w:vAlign w:val="center"/>
          </w:tcPr>
          <w:p>
            <w:pPr>
              <w:widowControl/>
              <w:adjustRightInd w:val="0"/>
              <w:snapToGrid w:val="0"/>
              <w:jc w:val="center"/>
              <w:rPr>
                <w:rFonts w:hint="eastAsia" w:ascii="Times New Roman" w:eastAsia="宋体"/>
                <w:color w:val="000000"/>
                <w:sz w:val="21"/>
                <w:szCs w:val="21"/>
              </w:rPr>
            </w:pPr>
          </w:p>
        </w:tc>
        <w:tc>
          <w:tcPr>
            <w:tcW w:w="2229" w:type="dxa"/>
            <w:gridSpan w:val="2"/>
            <w:vMerge w:val="continue"/>
            <w:shd w:val="clear" w:color="auto" w:fill="auto"/>
            <w:vAlign w:val="center"/>
          </w:tcPr>
          <w:p>
            <w:pPr>
              <w:widowControl/>
              <w:adjustRightInd w:val="0"/>
              <w:snapToGrid w:val="0"/>
              <w:jc w:val="center"/>
              <w:rPr>
                <w:rFonts w:hint="eastAsia" w:ascii="Times New Roman" w:eastAsia="宋体"/>
                <w:color w:val="000000"/>
                <w:sz w:val="21"/>
                <w:szCs w:val="21"/>
              </w:rPr>
            </w:pPr>
          </w:p>
        </w:tc>
        <w:tc>
          <w:tcPr>
            <w:tcW w:w="2754" w:type="dxa"/>
            <w:shd w:val="clear" w:color="auto" w:fill="auto"/>
            <w:vAlign w:val="center"/>
          </w:tcPr>
          <w:p>
            <w:pPr>
              <w:adjustRightInd w:val="0"/>
              <w:snapToGrid w:val="0"/>
              <w:jc w:val="left"/>
              <w:rPr>
                <w:rFonts w:hint="eastAsia" w:ascii="Times New Roman" w:eastAsia="宋体"/>
                <w:sz w:val="21"/>
                <w:szCs w:val="21"/>
              </w:rPr>
            </w:pPr>
            <w:r>
              <w:rPr>
                <w:rFonts w:hint="eastAsia" w:ascii="Times New Roman" w:eastAsia="宋体"/>
                <w:sz w:val="21"/>
                <w:szCs w:val="21"/>
              </w:rPr>
              <w:t>普通摄像机含附件设备</w:t>
            </w:r>
          </w:p>
        </w:tc>
        <w:tc>
          <w:tcPr>
            <w:tcW w:w="2491" w:type="dxa"/>
            <w:vMerge w:val="continue"/>
            <w:shd w:val="clear" w:color="auto" w:fill="auto"/>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24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 xml:space="preserve">A020912 </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音频设备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扩音设备等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专用设备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电力工业专用设备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电力设备</w:t>
            </w: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A0309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工程机械</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A0310</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农业和林业机械</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含园艺机械、农用机械设备</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A0318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造纸和印刷机械</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印刷设备</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A0320</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医疗设备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A0324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环境污染防治设备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道路清扫及环卫设备</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90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A0325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政法、检测专用设备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含警用设备和用品、消防设备、交通管理设备等</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A0329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殡葬设备及用品</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水上交通运输设备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船只</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A033403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地震专用仪器</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vMerge w:val="continue"/>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A033412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教学专用仪器</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教学、实验室设备</w:t>
            </w:r>
          </w:p>
        </w:tc>
        <w:tc>
          <w:tcPr>
            <w:tcW w:w="2491" w:type="dxa"/>
            <w:vMerge w:val="continue"/>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A033499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其他专用仪器仪表</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防汛排涝设备等</w:t>
            </w:r>
          </w:p>
        </w:tc>
        <w:tc>
          <w:tcPr>
            <w:tcW w:w="2491" w:type="dxa"/>
            <w:vMerge w:val="continue"/>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96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文艺设备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乐器、演出服装、舞台设备、影剧院设备等</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A0336</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体育设备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图书和档案</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restart"/>
            <w:shd w:val="clear" w:color="auto" w:fill="auto"/>
            <w:vAlign w:val="center"/>
          </w:tcPr>
          <w:p>
            <w:pPr>
              <w:adjustRightInd w:val="0"/>
              <w:snapToGrid w:val="0"/>
              <w:jc w:val="left"/>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A0501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图书</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3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A06</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家具用具</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学校课桌椅、办公家具、宿舍及餐厅家具等</w:t>
            </w: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单次采购金额10万元及其以上，年累计采购金额30万元及其以上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A0608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厨卫用具</w:t>
            </w:r>
          </w:p>
        </w:tc>
        <w:tc>
          <w:tcPr>
            <w:tcW w:w="2754" w:type="dxa"/>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炊事设备</w:t>
            </w:r>
          </w:p>
        </w:tc>
        <w:tc>
          <w:tcPr>
            <w:tcW w:w="2491" w:type="dxa"/>
            <w:vMerge w:val="continue"/>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850"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办公消耗用品及</w:t>
            </w:r>
          </w:p>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类似物品</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A0901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纸制文具及办公用品</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含复印纸等</w:t>
            </w:r>
          </w:p>
        </w:tc>
        <w:tc>
          <w:tcPr>
            <w:tcW w:w="2491" w:type="dxa"/>
            <w:vMerge w:val="restart"/>
            <w:shd w:val="clear" w:color="auto" w:fill="auto"/>
            <w:vAlign w:val="center"/>
          </w:tcPr>
          <w:p>
            <w:pPr>
              <w:widowControl/>
              <w:adjustRightInd w:val="0"/>
              <w:snapToGrid w:val="0"/>
              <w:jc w:val="left"/>
              <w:rPr>
                <w:rFonts w:hint="eastAsia" w:ascii="Times New Roman" w:eastAsia="宋体"/>
                <w:sz w:val="21"/>
                <w:szCs w:val="21"/>
              </w:rPr>
            </w:pPr>
            <w:r>
              <w:rPr>
                <w:rFonts w:hint="eastAsia" w:ascii="Times New Roman" w:eastAsia="宋体"/>
                <w:sz w:val="21"/>
                <w:szCs w:val="21"/>
              </w:rPr>
              <w:t>单次采购金额10万元及以上，年累计采购金额30万元及以上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A0902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硒鼓、粉盒</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A0903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墨、颜料</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A0904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文教用品</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vAlign w:val="center"/>
          </w:tcPr>
          <w:p>
            <w:pPr>
              <w:widowControl/>
              <w:adjustRightInd w:val="0"/>
              <w:snapToGrid w:val="0"/>
              <w:jc w:val="left"/>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A11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医药品</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jc w:val="center"/>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13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A1108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医用材料</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包含医疗耗材及医用试剂等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集中招标采购医疗机构使用的（列入国家、江苏省集中招标的除外）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工程</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建筑物施工</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包含基建、人防工程</w:t>
            </w:r>
          </w:p>
        </w:tc>
        <w:tc>
          <w:tcPr>
            <w:tcW w:w="2491" w:type="dxa"/>
            <w:vMerge w:val="restart"/>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单次采购金额10万元及以上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构筑物施工</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包含市政、交通、水利、电力、电信、绿化工程等</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工程准备</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包括工地平整和清理、土石方工程、拆除工程、排水施工等</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专业施工</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包括桩基工程、防水工程、消防工程等</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B06</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建筑安装工程</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包含电力系统安装、空调安装等</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B07</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装修工程</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B08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修缮工程</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vMerge w:val="continue"/>
            <w:shd w:val="clear" w:color="auto" w:fill="auto"/>
            <w:vAlign w:val="center"/>
          </w:tcPr>
          <w:p>
            <w:pPr>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58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信息技术服务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包括：软件开发、信息系统集成实施、数据处理、信息化工程及监理和测试评估、运行维护、信息技术咨询、数据的和存储等服务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58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租赁服务（不带操作员）</w:t>
            </w:r>
          </w:p>
          <w:p>
            <w:pPr>
              <w:widowControl/>
              <w:adjustRightInd w:val="0"/>
              <w:snapToGrid w:val="0"/>
              <w:jc w:val="center"/>
              <w:rPr>
                <w:rFonts w:hint="eastAsia" w:ascii="Times New Roman" w:eastAsia="宋体"/>
                <w:color w:val="000000"/>
                <w:sz w:val="21"/>
                <w:szCs w:val="21"/>
              </w:rPr>
            </w:pP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计算机设备、软件、办公设备、车辆、运输机械、农业和林业机械设备、医疗设备、图书和音像制品、家具、用具和装具等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C050301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车辆维修和保养服务</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C0601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会议服务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会议、接待服务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定点采购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商务服务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法律服务</w:t>
            </w:r>
          </w:p>
        </w:tc>
        <w:tc>
          <w:tcPr>
            <w:tcW w:w="2754" w:type="dxa"/>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bCs/>
                <w:sz w:val="21"/>
                <w:szCs w:val="21"/>
              </w:rPr>
              <w:t>包括：法律诉讼、法律咨询、法律援助、公证、鉴定等服务</w:t>
            </w:r>
          </w:p>
        </w:tc>
        <w:tc>
          <w:tcPr>
            <w:tcW w:w="2491" w:type="dxa"/>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会计服务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bCs/>
                <w:sz w:val="21"/>
                <w:szCs w:val="21"/>
              </w:rPr>
              <w:t>财务报表编制、记账等服务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07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审计服务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bCs/>
                <w:sz w:val="21"/>
                <w:szCs w:val="21"/>
              </w:rPr>
              <w:t>指按照公认的会计原则，审查某机构的会计账册和其他单据的服务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07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C0805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资产及其他评估服务</w:t>
            </w:r>
          </w:p>
        </w:tc>
        <w:tc>
          <w:tcPr>
            <w:tcW w:w="2754" w:type="dxa"/>
            <w:shd w:val="clear" w:color="auto" w:fill="auto"/>
            <w:vAlign w:val="center"/>
          </w:tcPr>
          <w:p>
            <w:pPr>
              <w:widowControl/>
              <w:adjustRightInd w:val="0"/>
              <w:snapToGrid w:val="0"/>
              <w:rPr>
                <w:rFonts w:hint="eastAsia" w:ascii="Times New Roman" w:eastAsia="宋体"/>
                <w:bCs/>
                <w:sz w:val="21"/>
                <w:szCs w:val="21"/>
              </w:rPr>
            </w:pPr>
            <w:r>
              <w:rPr>
                <w:rFonts w:hint="eastAsia" w:ascii="Times New Roman" w:eastAsia="宋体"/>
                <w:bCs/>
                <w:sz w:val="21"/>
                <w:szCs w:val="21"/>
              </w:rPr>
              <w:t>不动产、无形资产、知识产权评估；清算服务；其他资产及其他评估服务。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C0814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印刷和出版服务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C081401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印刷服务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包含文件资料、内部书刊、信封、各种票据等印刷</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C081402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出版服务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包含图书、报纸、期刊等出版及印刷等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专业技术服务</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68"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C0901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技术测试和分析服务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包含桥梁、水闸、校舍等公共设施安全监测、鉴定；生命线工程、校舍等公共设施抗震性能检测鉴定；水质监测检测；农产品质量安全检测；农业环境质量检测；燃气容器安全、气质检测及鉴定等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房地产服务</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C1204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物业管理服务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包含单位办公场所的保安、保洁等服务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公共设施管理服务</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C1301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城市规划和设计服务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指对城市土地、基础设施、园林等进行规划和设计的服务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701"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C1302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市政公共设施管理服务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指城市污水排放、雨水排放、路灯、道路、桥梁、隧道、广场、涵洞、防空等市政设施的维护、抢险、紧急处理、管理等服务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701"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C1303</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园林绿化管理服务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包含：草坪、鲜花、树木、单位附属绿地、防护绿地、生产绿地、风景林地管理服务；树木、草坪病虫防治管理服务；其他园林绿化管理服务等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47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C1304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城市市容管理服务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包括：城市外景照明管理服务：建筑物照明，广场、草坪照明和其他城市景观照明管理服务；其他城市市容管理服务</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C15</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金融服务</w:t>
            </w:r>
          </w:p>
        </w:tc>
        <w:tc>
          <w:tcPr>
            <w:tcW w:w="2754" w:type="dxa"/>
            <w:shd w:val="clear" w:color="auto" w:fill="auto"/>
            <w:vAlign w:val="center"/>
          </w:tcPr>
          <w:p>
            <w:pPr>
              <w:widowControl/>
              <w:adjustRightInd w:val="0"/>
              <w:snapToGrid w:val="0"/>
              <w:rPr>
                <w:rFonts w:hint="eastAsia" w:ascii="Times New Roman" w:eastAsia="宋体"/>
                <w:bCs/>
                <w:sz w:val="21"/>
                <w:szCs w:val="21"/>
              </w:rPr>
            </w:pPr>
          </w:p>
        </w:tc>
        <w:tc>
          <w:tcPr>
            <w:tcW w:w="2491" w:type="dxa"/>
            <w:shd w:val="clear" w:color="auto" w:fill="auto"/>
            <w:vAlign w:val="center"/>
          </w:tcPr>
          <w:p>
            <w:pPr>
              <w:widowControl/>
              <w:adjustRightInd w:val="0"/>
              <w:snapToGrid w:val="0"/>
              <w:rPr>
                <w:rFonts w:hint="eastAsia" w:ascii="Times New Roman"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13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C1504</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保险服务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包含人寿保险服务、财产保险服务（含农业保险）、机动车保险服务等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041"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C16</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环境服务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包含市政公共卫生间保洁；街巷、道路、新村环境保洁；河道保洁；城市绿化养护；污染土地治理修复；除四害消杀服务；涉密载体销毁；危险品处置等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医疗卫生和社会服务</w:t>
            </w:r>
          </w:p>
        </w:tc>
        <w:tc>
          <w:tcPr>
            <w:tcW w:w="2754" w:type="dxa"/>
            <w:shd w:val="clear" w:color="auto" w:fill="auto"/>
            <w:vAlign w:val="center"/>
          </w:tcPr>
          <w:p>
            <w:pPr>
              <w:widowControl/>
              <w:adjustRightInd w:val="0"/>
              <w:snapToGrid w:val="0"/>
              <w:rPr>
                <w:rFonts w:hint="eastAsia" w:ascii="Times New Roman" w:eastAsia="宋体"/>
                <w:sz w:val="21"/>
                <w:szCs w:val="21"/>
              </w:rPr>
            </w:pPr>
          </w:p>
        </w:tc>
        <w:tc>
          <w:tcPr>
            <w:tcW w:w="2491" w:type="dxa"/>
            <w:shd w:val="clear" w:color="auto" w:fill="auto"/>
            <w:vAlign w:val="center"/>
          </w:tcPr>
          <w:p>
            <w:pPr>
              <w:widowControl/>
              <w:adjustRightInd w:val="0"/>
              <w:snapToGrid w:val="0"/>
              <w:rPr>
                <w:rFonts w:hint="eastAsia" w:asci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850"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C1901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医疗卫生服务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包含医疗卫生、救助保健等方面的政府购买公共服务事项</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077"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C1902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社会服务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包含社会保障、社会福利、助残救济、社区服务等方面的政府购买公共服务事项</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采购金额20万元及以上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C99</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其他服务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79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C9901</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档案事务</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包含档案数字化加工；整理、寄存；保护加工等</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1315" w:type="dxa"/>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C9902</w:t>
            </w:r>
          </w:p>
        </w:tc>
        <w:tc>
          <w:tcPr>
            <w:tcW w:w="2229" w:type="dxa"/>
            <w:gridSpan w:val="2"/>
            <w:shd w:val="clear" w:color="auto" w:fill="auto"/>
            <w:vAlign w:val="center"/>
          </w:tcPr>
          <w:p>
            <w:pPr>
              <w:widowControl/>
              <w:adjustRightInd w:val="0"/>
              <w:snapToGrid w:val="0"/>
              <w:jc w:val="center"/>
              <w:rPr>
                <w:rFonts w:hint="eastAsia" w:ascii="Times New Roman" w:eastAsia="宋体"/>
                <w:color w:val="000000"/>
                <w:sz w:val="21"/>
                <w:szCs w:val="21"/>
              </w:rPr>
            </w:pPr>
            <w:r>
              <w:rPr>
                <w:rFonts w:hint="eastAsia" w:ascii="Times New Roman" w:eastAsia="宋体"/>
                <w:color w:val="000000"/>
                <w:sz w:val="21"/>
                <w:szCs w:val="21"/>
              </w:rPr>
              <w:t>绩效评价</w:t>
            </w:r>
          </w:p>
        </w:tc>
        <w:tc>
          <w:tcPr>
            <w:tcW w:w="2754"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　</w:t>
            </w:r>
          </w:p>
        </w:tc>
        <w:tc>
          <w:tcPr>
            <w:tcW w:w="2491" w:type="dxa"/>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采购金额15万元及以上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jc w:val="center"/>
        </w:trPr>
        <w:tc>
          <w:tcPr>
            <w:tcW w:w="8789" w:type="dxa"/>
            <w:gridSpan w:val="5"/>
            <w:shd w:val="clear" w:color="auto" w:fill="auto"/>
            <w:vAlign w:val="center"/>
          </w:tcPr>
          <w:p>
            <w:pPr>
              <w:widowControl/>
              <w:adjustRightInd w:val="0"/>
              <w:snapToGrid w:val="0"/>
              <w:rPr>
                <w:rFonts w:hint="eastAsia" w:ascii="Times New Roman" w:eastAsia="黑体"/>
                <w:bCs/>
                <w:sz w:val="21"/>
                <w:szCs w:val="21"/>
              </w:rPr>
            </w:pPr>
            <w:r>
              <w:rPr>
                <w:rFonts w:hint="eastAsia" w:ascii="Times New Roman" w:eastAsia="黑体"/>
                <w:bCs/>
                <w:sz w:val="21"/>
                <w:szCs w:val="21"/>
              </w:rPr>
              <w:t>（二）政府采购限额标准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1701" w:hRule="atLeast"/>
          <w:jc w:val="center"/>
        </w:trPr>
        <w:tc>
          <w:tcPr>
            <w:tcW w:w="2889" w:type="dxa"/>
            <w:gridSpan w:val="2"/>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政府采购目录外，货物、工程类单项或批量达到50万元及以上的项目；服务类单项或批量达到30万元及以上的项目</w:t>
            </w:r>
          </w:p>
        </w:tc>
        <w:tc>
          <w:tcPr>
            <w:tcW w:w="5900" w:type="dxa"/>
            <w:gridSpan w:val="3"/>
            <w:shd w:val="clear" w:color="auto" w:fill="auto"/>
            <w:vAlign w:val="center"/>
          </w:tcPr>
          <w:p>
            <w:pPr>
              <w:widowControl/>
              <w:adjustRightInd w:val="0"/>
              <w:snapToGrid w:val="0"/>
              <w:rPr>
                <w:rFonts w:hint="eastAsia" w:ascii="Times New Roman" w:eastAsia="宋体"/>
                <w:sz w:val="21"/>
                <w:szCs w:val="21"/>
              </w:rPr>
            </w:pPr>
            <w:r>
              <w:rPr>
                <w:rFonts w:hint="eastAsia" w:ascii="Times New Roman" w:eastAsia="宋体"/>
                <w:sz w:val="21"/>
                <w:szCs w:val="21"/>
              </w:rPr>
              <w:t>各预算单位使用含财政性资金采购“政府采购目录”以外且在采购限额标准以上的货物、工程和服务类项目实行分散采购。分散采购同样为政府采购的重要组织形式，均适用于《政府采购法》及相关政策制度的规定</w:t>
            </w:r>
          </w:p>
        </w:tc>
      </w:tr>
    </w:tbl>
    <w:p>
      <w:pPr>
        <w:adjustRightInd w:val="0"/>
        <w:snapToGrid w:val="0"/>
        <w:spacing w:before="100" w:beforeAutospacing="1" w:line="580" w:lineRule="exact"/>
        <w:ind w:firstLine="632" w:firstLineChars="200"/>
        <w:rPr>
          <w:rFonts w:hint="eastAsia" w:ascii="Times New Roman" w:eastAsia="黑体"/>
        </w:rPr>
      </w:pPr>
      <w:r>
        <w:rPr>
          <w:rFonts w:hint="eastAsia" w:ascii="Times New Roman" w:eastAsia="黑体"/>
        </w:rPr>
        <w:t>二、公开招标数额标准</w:t>
      </w:r>
    </w:p>
    <w:p>
      <w:pPr>
        <w:adjustRightInd w:val="0"/>
        <w:snapToGrid w:val="0"/>
        <w:spacing w:line="580" w:lineRule="exact"/>
        <w:ind w:firstLine="632" w:firstLineChars="200"/>
        <w:rPr>
          <w:rFonts w:hint="eastAsia" w:ascii="Times New Roman"/>
        </w:rPr>
      </w:pPr>
      <w:r>
        <w:rPr>
          <w:rFonts w:hint="eastAsia" w:ascii="Times New Roman"/>
        </w:rPr>
        <w:t>公开招标是政府采购六种采购方式之一。2018年度货物、服务类政府采购公开招标数额标准为：单项或批量采购100万元以上（含100万元）；工程类项目参照省政府《省政府关于印发江苏省工程建设项目招标范围和规模标准规定的通知》（苏政发〔2004〕48号）及《关于对政府性投资工程项目加强政府采购管理的通知》（苏财购字〔2006〕2号）执行。</w:t>
      </w:r>
    </w:p>
    <w:p>
      <w:pPr>
        <w:adjustRightInd w:val="0"/>
        <w:snapToGrid w:val="0"/>
        <w:spacing w:line="580" w:lineRule="exact"/>
        <w:ind w:firstLine="632" w:firstLineChars="200"/>
        <w:rPr>
          <w:rFonts w:hint="eastAsia" w:ascii="Times New Roman"/>
        </w:rPr>
      </w:pPr>
      <w:r>
        <w:rPr>
          <w:rFonts w:hint="eastAsia" w:ascii="Times New Roman"/>
        </w:rPr>
        <w:t xml:space="preserve">公开招标数额标准是实施公开招标的最低限额。单项或批量采购金额达到公开招标数额标准以上的货物、服务和工程项目，都必须采用公开招标方式采购。 </w:t>
      </w:r>
    </w:p>
    <w:p>
      <w:pPr>
        <w:adjustRightInd w:val="0"/>
        <w:snapToGrid w:val="0"/>
        <w:spacing w:line="580" w:lineRule="exact"/>
        <w:ind w:firstLine="632" w:firstLineChars="200"/>
        <w:rPr>
          <w:rFonts w:hint="eastAsia" w:ascii="Times New Roman"/>
        </w:rPr>
      </w:pPr>
      <w:r>
        <w:rPr>
          <w:rFonts w:hint="eastAsia" w:ascii="Times New Roman"/>
        </w:rPr>
        <w:t>应公开招标的政府采购项目，因特殊情况需采用其他方式采购的，必须在采购活动开始前获得政府采购监督管理部门批准。</w:t>
      </w:r>
    </w:p>
    <w:p>
      <w:pPr>
        <w:adjustRightInd w:val="0"/>
        <w:snapToGrid w:val="0"/>
        <w:spacing w:line="580" w:lineRule="exact"/>
        <w:ind w:firstLine="632" w:firstLineChars="200"/>
        <w:rPr>
          <w:rFonts w:hint="eastAsia" w:ascii="Times New Roman" w:eastAsia="黑体"/>
        </w:rPr>
      </w:pPr>
      <w:r>
        <w:rPr>
          <w:rFonts w:hint="eastAsia" w:ascii="Times New Roman" w:eastAsia="黑体"/>
        </w:rPr>
        <w:t>三、相关说明</w:t>
      </w:r>
    </w:p>
    <w:p>
      <w:pPr>
        <w:adjustRightInd w:val="0"/>
        <w:snapToGrid w:val="0"/>
        <w:spacing w:line="580" w:lineRule="exact"/>
        <w:ind w:firstLine="632" w:firstLineChars="200"/>
        <w:rPr>
          <w:rFonts w:hint="eastAsia" w:ascii="Times New Roman"/>
        </w:rPr>
      </w:pPr>
      <w:r>
        <w:rPr>
          <w:rFonts w:hint="eastAsia" w:ascii="Times New Roman"/>
        </w:rPr>
        <w:t>（一）采购单位采购太仓市2018年政府集中采购目录（以下简称：采购目录）内起点金额以下或者采购目录外限额标准以下的货物、服务、工程类项目，均可自行采购。采购目录内起点金额以下的协议供货项目，采购单位应自行采购协议供货范围内的中标产品；采购目录内起点金额以上的协议供货项目，采购人应在协议供货中标品牌型号内选择三个以上（含三个）同价位的品牌型号，委托苏州市公共资源交易中心太仓分中心通过询价、竞争性谈判等方式对价格和服务进行再竞争。是定点采购项目的，原则上应当在公布的定点供应商名单中选择。如有特殊情况，需报经市政府采购监管部门批准后另行组织采购。</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rPr>
      </w:pPr>
      <w:r>
        <w:rPr>
          <w:rFonts w:hint="eastAsia" w:ascii="Times New Roman"/>
        </w:rPr>
        <w:t>（二）通用办公设备的采购标准严格按照《太仓市市级行政事业单位部分通用资产配置预算标准》（太财资〔2014〕2号）执行。如有特殊要求，需经相关部门审批。</w:t>
      </w:r>
    </w:p>
    <w:p>
      <w:pPr>
        <w:adjustRightInd w:val="0"/>
        <w:snapToGrid w:val="0"/>
        <w:spacing w:line="580" w:lineRule="exact"/>
        <w:ind w:firstLine="632" w:firstLineChars="200"/>
        <w:rPr>
          <w:rFonts w:hint="eastAsia" w:ascii="Times New Roman"/>
        </w:rPr>
      </w:pPr>
      <w:r>
        <w:rPr>
          <w:rFonts w:hint="eastAsia" w:ascii="Times New Roman"/>
        </w:rPr>
        <w:t>（三）政府采购限额标准的计算方法。</w:t>
      </w:r>
    </w:p>
    <w:p>
      <w:pPr>
        <w:adjustRightInd w:val="0"/>
        <w:snapToGrid w:val="0"/>
        <w:spacing w:line="580" w:lineRule="exact"/>
        <w:ind w:firstLine="632" w:firstLineChars="200"/>
        <w:rPr>
          <w:rFonts w:hint="eastAsia" w:ascii="Times New Roman"/>
        </w:rPr>
      </w:pPr>
      <w:r>
        <w:rPr>
          <w:rFonts w:hint="eastAsia" w:ascii="Times New Roman"/>
        </w:rPr>
        <w:t>1．全部由财政预算资金安排的采购项目，以预算额为标准。</w:t>
      </w:r>
    </w:p>
    <w:p>
      <w:pPr>
        <w:adjustRightInd w:val="0"/>
        <w:snapToGrid w:val="0"/>
        <w:spacing w:line="580" w:lineRule="exact"/>
        <w:ind w:firstLine="632" w:firstLineChars="200"/>
        <w:rPr>
          <w:rFonts w:hint="eastAsia" w:ascii="Times New Roman"/>
        </w:rPr>
      </w:pPr>
      <w:r>
        <w:rPr>
          <w:rFonts w:hint="eastAsia" w:ascii="Times New Roman"/>
        </w:rPr>
        <w:t>2．配套资金采购项目和多渠道筹资的采购项目，其中只要含有财政性资金的，以采购项目总投资为标准。</w:t>
      </w:r>
    </w:p>
    <w:p>
      <w:pPr>
        <w:adjustRightInd w:val="0"/>
        <w:snapToGrid w:val="0"/>
        <w:spacing w:line="580" w:lineRule="exact"/>
        <w:ind w:firstLine="632" w:firstLineChars="200"/>
        <w:rPr>
          <w:rFonts w:hint="eastAsia" w:ascii="Times New Roman"/>
        </w:rPr>
      </w:pPr>
      <w:r>
        <w:rPr>
          <w:rFonts w:hint="eastAsia" w:ascii="Times New Roman"/>
        </w:rPr>
        <w:t>3．重复采购项目以年度内本单位的采购总量为标准。</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rPr>
      </w:pPr>
      <w:r>
        <w:rPr>
          <w:rFonts w:hint="eastAsia" w:ascii="Times New Roman"/>
        </w:rPr>
        <w:t>4．复合采购项目，即一个采购项目含货物、工程或服务两个以上的采购项目，应按照采购资金比重最大的项目确定其属性。</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color w:val="000000"/>
        </w:rPr>
      </w:pPr>
      <w:r>
        <w:rPr>
          <w:rFonts w:hint="eastAsia" w:ascii="Times New Roman"/>
        </w:rPr>
        <w:t>（四）在政府采购活动中，采购人、政府采购代理机构要认真执行国家、省和市的各项政府采购政策，在政府采购评审标准和评审办法中充分体现对节能环保产品和中小企业支持；鼓励采购本国产品和服务，确需采购进口产品的，要按照财政部《政府采购进口产品管理办法》规定，履行审批手续</w:t>
      </w:r>
      <w:r>
        <w:rPr>
          <w:rFonts w:hint="eastAsia" w:ascii="Times New Roman"/>
          <w:color w:val="000000"/>
        </w:rPr>
        <w:t>。</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rPr>
      </w:pPr>
      <w:r>
        <w:rPr>
          <w:rFonts w:hint="eastAsia" w:ascii="Times New Roman"/>
        </w:rPr>
        <w:t>（五）各预算单位应进一步加强政府采购管理工作，完善单位内部政府采购管理规定，具体要在政府采购的组织、预算、计划、实施、验收、监督等方面明确内部工作机制。</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rPr>
      </w:pPr>
      <w:r>
        <w:rPr>
          <w:rFonts w:hint="eastAsia" w:ascii="Times New Roman"/>
        </w:rPr>
        <w:t>（六）各预算单位在编制政府采购预算时，应按照本目录及标准的规定编报政府采购部门预算。政府采购预算编制范围包括集中采购目录内起点金额以上的集中采购项目和集中采购目录外限额标准以上的分散采购项目。</w:t>
      </w:r>
    </w:p>
    <w:p>
      <w:pPr>
        <w:tabs>
          <w:tab w:val="left" w:pos="1900"/>
          <w:tab w:val="left" w:pos="4820"/>
          <w:tab w:val="left" w:pos="9220"/>
          <w:tab w:val="left" w:pos="12200"/>
        </w:tabs>
        <w:adjustRightInd w:val="0"/>
        <w:snapToGrid w:val="0"/>
        <w:spacing w:line="580" w:lineRule="exact"/>
        <w:ind w:firstLine="632" w:firstLineChars="200"/>
        <w:rPr>
          <w:rFonts w:hint="eastAsia" w:ascii="Times New Roman"/>
        </w:rPr>
      </w:pPr>
      <w:r>
        <w:rPr>
          <w:rFonts w:hint="eastAsia" w:ascii="Times New Roman"/>
        </w:rPr>
        <w:t>（七）各镇、国开区、高新区、科教新城、旅游度假区参照本目录执行。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汉鼎简大宋">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文鼎CS仿宋体">
    <w:altName w:val="仿宋"/>
    <w:panose1 w:val="02010609010101010101"/>
    <w:charset w:val="86"/>
    <w:family w:val="swiss"/>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C1FC3"/>
    <w:rsid w:val="093978DB"/>
    <w:rsid w:val="1BF54D98"/>
    <w:rsid w:val="308C1F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rPr>
      <w:rFonts w:ascii="Calibri" w:hAnsi="Calibri" w:eastAsia="宋体"/>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eastAsia="宋体"/>
      <w:spacing w:val="0"/>
      <w:kern w:val="0"/>
      <w:sz w:val="21"/>
      <w:szCs w:val="21"/>
    </w:rPr>
  </w:style>
  <w:style w:type="paragraph" w:customStyle="1" w:styleId="6">
    <w:name w:val="样式1"/>
    <w:basedOn w:val="2"/>
    <w:uiPriority w:val="0"/>
    <w:pPr>
      <w:spacing w:line="580" w:lineRule="exact"/>
      <w:ind w:firstLine="640" w:firstLineChars="200"/>
    </w:pPr>
    <w:rPr>
      <w:rFonts w:ascii="Times New Roman" w:hAnsi="Times New Roman" w:eastAsiaTheme="majorEastAsia"/>
      <w:sz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2018-02-07T02:27:00Z</dcterms:created>
  <dc:creator>user291</dc:creator>
  <cp:lastModifiedBy>user291</cp:lastModifiedBy>
  <dcterms:modified xsi:type="dcterms:W3CDTF">2018-02-07T02:28:37Z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